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B27EB" w14:textId="00E04A1C" w:rsidR="00774DE8" w:rsidRDefault="00EA1CD2" w:rsidP="00774DE8">
      <w:pPr>
        <w:pStyle w:val="berschrift1"/>
        <w:numPr>
          <w:ilvl w:val="0"/>
          <w:numId w:val="0"/>
        </w:numPr>
        <w:ind w:left="851" w:hanging="851"/>
        <w:rPr>
          <w:lang w:val="en-US"/>
        </w:rPr>
      </w:pPr>
      <w:r>
        <w:rPr>
          <w:lang w:val="en-US"/>
        </w:rPr>
        <w:t>T</w:t>
      </w:r>
      <w:r w:rsidR="00774DE8" w:rsidRPr="00774DE8">
        <w:rPr>
          <w:lang w:val="en-US"/>
        </w:rPr>
        <w:t>ransfer Impact Assessment for t</w:t>
      </w:r>
      <w:r w:rsidR="00774DE8">
        <w:rPr>
          <w:lang w:val="en-US"/>
        </w:rPr>
        <w:t>he US</w:t>
      </w:r>
    </w:p>
    <w:p w14:paraId="49FB088D" w14:textId="77777777" w:rsidR="00680A89" w:rsidRPr="009F593C" w:rsidRDefault="00680A89" w:rsidP="009F593C">
      <w:pPr>
        <w:pStyle w:val="Normal0"/>
        <w:spacing w:line="240" w:lineRule="auto"/>
        <w:rPr>
          <w:sz w:val="16"/>
          <w:szCs w:val="16"/>
          <w:lang w:val="en-US"/>
        </w:rPr>
      </w:pPr>
    </w:p>
    <w:p w14:paraId="733417BA" w14:textId="5BAAFEBA" w:rsidR="00644695" w:rsidRDefault="00644695" w:rsidP="00774DE8">
      <w:pPr>
        <w:pStyle w:val="Normal0"/>
        <w:rPr>
          <w:lang w:val="en-US"/>
        </w:rPr>
      </w:pPr>
      <w:r>
        <w:rPr>
          <w:lang w:val="en-US"/>
        </w:rPr>
        <w:t xml:space="preserve">Made by: </w:t>
      </w:r>
      <w:r>
        <w:rPr>
          <w:lang w:val="en-US"/>
        </w:rPr>
        <w:tab/>
        <w:t>[</w:t>
      </w:r>
      <w:r w:rsidRPr="009D3427">
        <w:rPr>
          <w:highlight w:val="yellow"/>
          <w:lang w:val="en-US"/>
        </w:rPr>
        <w:t>Name of organization</w:t>
      </w:r>
      <w:r>
        <w:rPr>
          <w:lang w:val="en-US"/>
        </w:rPr>
        <w:t>]</w:t>
      </w:r>
      <w:r w:rsidR="00B46ABE">
        <w:rPr>
          <w:lang w:val="en-US"/>
        </w:rPr>
        <w:t xml:space="preserve"> (the </w:t>
      </w:r>
      <w:r w:rsidR="00B46ABE" w:rsidRPr="00773955">
        <w:rPr>
          <w:b/>
          <w:lang w:val="en-US"/>
        </w:rPr>
        <w:t>Exporter</w:t>
      </w:r>
      <w:r w:rsidR="00B46ABE">
        <w:rPr>
          <w:lang w:val="en-US"/>
        </w:rPr>
        <w:t>)</w:t>
      </w:r>
    </w:p>
    <w:p w14:paraId="0CD7F920" w14:textId="77777777" w:rsidR="00644695" w:rsidRDefault="00644695" w:rsidP="00774DE8">
      <w:pPr>
        <w:pStyle w:val="Normal0"/>
        <w:rPr>
          <w:lang w:val="en-US"/>
        </w:rPr>
      </w:pPr>
      <w:r>
        <w:rPr>
          <w:lang w:val="en-US"/>
        </w:rPr>
        <w:t>Date:</w:t>
      </w:r>
      <w:r>
        <w:rPr>
          <w:lang w:val="en-US"/>
        </w:rPr>
        <w:tab/>
      </w:r>
      <w:r>
        <w:rPr>
          <w:lang w:val="en-US"/>
        </w:rPr>
        <w:tab/>
        <w:t>[</w:t>
      </w:r>
      <w:r w:rsidRPr="009D3427">
        <w:rPr>
          <w:highlight w:val="yellow"/>
          <w:lang w:val="en-US"/>
        </w:rPr>
        <w:t>Date</w:t>
      </w:r>
      <w:r>
        <w:rPr>
          <w:lang w:val="en-US"/>
        </w:rPr>
        <w:t>]</w:t>
      </w:r>
    </w:p>
    <w:p w14:paraId="645D11F9" w14:textId="77777777" w:rsidR="00680A89" w:rsidRPr="009F593C" w:rsidRDefault="00680A89" w:rsidP="009F593C">
      <w:pPr>
        <w:pStyle w:val="Normal0"/>
        <w:spacing w:line="240" w:lineRule="auto"/>
        <w:rPr>
          <w:sz w:val="16"/>
          <w:szCs w:val="16"/>
          <w:lang w:val="en-US"/>
        </w:rPr>
      </w:pPr>
    </w:p>
    <w:p w14:paraId="0CF778FD" w14:textId="3E83E10A" w:rsidR="00644695" w:rsidRDefault="00644695" w:rsidP="00774DE8">
      <w:pPr>
        <w:pStyle w:val="Normal0"/>
        <w:rPr>
          <w:lang w:val="en-US"/>
        </w:rPr>
      </w:pPr>
      <w:r>
        <w:rPr>
          <w:lang w:val="en-US"/>
        </w:rPr>
        <w:t>Considering:</w:t>
      </w:r>
    </w:p>
    <w:p w14:paraId="542519BC" w14:textId="49B452C6" w:rsidR="00D56FD4" w:rsidRDefault="00EA1CD2" w:rsidP="00EA1CD2">
      <w:pPr>
        <w:pStyle w:val="Randziffern"/>
        <w:rPr>
          <w:lang w:val="en-US"/>
        </w:rPr>
      </w:pPr>
      <w:r>
        <w:rPr>
          <w:lang w:val="en-US"/>
        </w:rPr>
        <w:t xml:space="preserve">That </w:t>
      </w:r>
      <w:r w:rsidR="00ED16CB">
        <w:rPr>
          <w:lang w:val="en-US"/>
        </w:rPr>
        <w:t xml:space="preserve">a </w:t>
      </w:r>
      <w:r>
        <w:rPr>
          <w:lang w:val="en-US"/>
        </w:rPr>
        <w:t>controller or processor</w:t>
      </w:r>
      <w:r w:rsidR="00B46ABE">
        <w:rPr>
          <w:lang w:val="en-US"/>
        </w:rPr>
        <w:t xml:space="preserve"> subject to the General Data Protection Regulation (</w:t>
      </w:r>
      <w:r w:rsidR="00B46ABE" w:rsidRPr="00B46ABE">
        <w:rPr>
          <w:b/>
          <w:lang w:val="en-US"/>
        </w:rPr>
        <w:t>GDPR</w:t>
      </w:r>
      <w:r w:rsidR="00B46ABE">
        <w:rPr>
          <w:lang w:val="en-US"/>
        </w:rPr>
        <w:t>)</w:t>
      </w:r>
      <w:r w:rsidR="00ED16CB">
        <w:rPr>
          <w:lang w:val="en-US"/>
        </w:rPr>
        <w:t xml:space="preserve"> transferring </w:t>
      </w:r>
      <w:r>
        <w:rPr>
          <w:lang w:val="en-US"/>
        </w:rPr>
        <w:t xml:space="preserve">personal data </w:t>
      </w:r>
      <w:r w:rsidR="00F6241E">
        <w:rPr>
          <w:lang w:val="en-US"/>
        </w:rPr>
        <w:t>to a</w:t>
      </w:r>
      <w:r w:rsidR="00E96F29">
        <w:rPr>
          <w:lang w:val="en-US"/>
        </w:rPr>
        <w:t xml:space="preserve">n importer </w:t>
      </w:r>
      <w:r w:rsidR="00B64F9E">
        <w:rPr>
          <w:lang w:val="en-US"/>
        </w:rPr>
        <w:t xml:space="preserve">in a </w:t>
      </w:r>
      <w:r w:rsidR="00F6241E">
        <w:rPr>
          <w:lang w:val="en-US"/>
        </w:rPr>
        <w:t xml:space="preserve">third country </w:t>
      </w:r>
      <w:r w:rsidR="00E96F29">
        <w:rPr>
          <w:lang w:val="en-US"/>
        </w:rPr>
        <w:t>(</w:t>
      </w:r>
      <w:r w:rsidR="00E96F29" w:rsidRPr="00E96F29">
        <w:rPr>
          <w:b/>
          <w:lang w:val="en-US"/>
        </w:rPr>
        <w:t>Importer</w:t>
      </w:r>
      <w:r w:rsidR="00E96F29">
        <w:rPr>
          <w:lang w:val="en-US"/>
        </w:rPr>
        <w:t xml:space="preserve">) </w:t>
      </w:r>
      <w:r w:rsidR="00B64F9E">
        <w:rPr>
          <w:lang w:val="en-US"/>
        </w:rPr>
        <w:t xml:space="preserve">for which no decision pursuant to Art. 45(3) GDPR </w:t>
      </w:r>
      <w:r w:rsidR="009F593C">
        <w:rPr>
          <w:lang w:val="en-US"/>
        </w:rPr>
        <w:t>applies</w:t>
      </w:r>
      <w:r w:rsidR="00B016BC">
        <w:rPr>
          <w:lang w:val="en-US"/>
        </w:rPr>
        <w:t xml:space="preserve">, requires appropriate safeguards </w:t>
      </w:r>
      <w:r w:rsidR="00D56FD4">
        <w:rPr>
          <w:lang w:val="en-US"/>
        </w:rPr>
        <w:t>pursuant to Art. 46 GDPR;</w:t>
      </w:r>
    </w:p>
    <w:p w14:paraId="3B5D967C" w14:textId="2A0DE14A" w:rsidR="00D56FD4" w:rsidRDefault="00932550" w:rsidP="00EA1CD2">
      <w:pPr>
        <w:pStyle w:val="Randziffern"/>
        <w:rPr>
          <w:lang w:val="en-US"/>
        </w:rPr>
      </w:pPr>
      <w:r>
        <w:rPr>
          <w:lang w:val="en-US"/>
        </w:rPr>
        <w:t>That t</w:t>
      </w:r>
      <w:r w:rsidR="00D56FD4">
        <w:rPr>
          <w:lang w:val="en-US"/>
        </w:rPr>
        <w:t>he United States of America (</w:t>
      </w:r>
      <w:r w:rsidR="00D56FD4" w:rsidRPr="00B315F1">
        <w:rPr>
          <w:b/>
          <w:lang w:val="en-US"/>
        </w:rPr>
        <w:t>US</w:t>
      </w:r>
      <w:r w:rsidR="00D56FD4">
        <w:rPr>
          <w:lang w:val="en-US"/>
        </w:rPr>
        <w:t>) is such a country</w:t>
      </w:r>
      <w:r w:rsidR="009F593C">
        <w:rPr>
          <w:lang w:val="en-US"/>
        </w:rPr>
        <w:t xml:space="preserve"> for those importers not under the EU-US Data Privacy Framework (</w:t>
      </w:r>
      <w:r w:rsidR="009F593C" w:rsidRPr="009F593C">
        <w:rPr>
          <w:b/>
          <w:lang w:val="en-US"/>
        </w:rPr>
        <w:t>EU-US</w:t>
      </w:r>
      <w:r w:rsidR="009F593C">
        <w:rPr>
          <w:lang w:val="en-US"/>
        </w:rPr>
        <w:t xml:space="preserve"> </w:t>
      </w:r>
      <w:r w:rsidR="009F593C">
        <w:rPr>
          <w:b/>
          <w:lang w:val="en-US"/>
        </w:rPr>
        <w:t>DPF</w:t>
      </w:r>
      <w:r w:rsidR="009F593C">
        <w:rPr>
          <w:lang w:val="en-US"/>
        </w:rPr>
        <w:t>)</w:t>
      </w:r>
      <w:r w:rsidR="00D56FD4">
        <w:rPr>
          <w:lang w:val="en-US"/>
        </w:rPr>
        <w:t>;</w:t>
      </w:r>
    </w:p>
    <w:p w14:paraId="7A748DEB" w14:textId="2C0CE711" w:rsidR="00773955" w:rsidRDefault="00B46ABE" w:rsidP="003667D0">
      <w:pPr>
        <w:pStyle w:val="Randziffern"/>
        <w:tabs>
          <w:tab w:val="left" w:pos="851"/>
        </w:tabs>
        <w:rPr>
          <w:lang w:val="en-US"/>
        </w:rPr>
      </w:pPr>
      <w:r w:rsidRPr="00B46ABE">
        <w:rPr>
          <w:lang w:val="en-US"/>
        </w:rPr>
        <w:t xml:space="preserve">That the </w:t>
      </w:r>
      <w:r w:rsidR="00B83426" w:rsidRPr="00B46ABE">
        <w:rPr>
          <w:lang w:val="en-US"/>
        </w:rPr>
        <w:t>Standard Contractual Clause</w:t>
      </w:r>
      <w:r w:rsidR="00B315F1" w:rsidRPr="00B46ABE">
        <w:rPr>
          <w:lang w:val="en-US"/>
        </w:rPr>
        <w:t>s (</w:t>
      </w:r>
      <w:r w:rsidR="00B315F1" w:rsidRPr="00B46ABE">
        <w:rPr>
          <w:b/>
          <w:lang w:val="en-US"/>
        </w:rPr>
        <w:t>SCC</w:t>
      </w:r>
      <w:r w:rsidR="00B315F1" w:rsidRPr="00B46ABE">
        <w:rPr>
          <w:lang w:val="en-US"/>
        </w:rPr>
        <w:t xml:space="preserve">) approved by the European Commission on June </w:t>
      </w:r>
      <w:r w:rsidR="0048291B">
        <w:rPr>
          <w:lang w:val="en-US"/>
        </w:rPr>
        <w:t>4</w:t>
      </w:r>
      <w:r w:rsidR="00B315F1" w:rsidRPr="00B46ABE">
        <w:rPr>
          <w:lang w:val="en-US"/>
        </w:rPr>
        <w:t>, 2021</w:t>
      </w:r>
      <w:r w:rsidR="00007368">
        <w:rPr>
          <w:lang w:val="en-US"/>
        </w:rPr>
        <w:t>,</w:t>
      </w:r>
      <w:r w:rsidR="00B315F1" w:rsidRPr="00B46ABE">
        <w:rPr>
          <w:lang w:val="en-US"/>
        </w:rPr>
        <w:t xml:space="preserve"> provide for such safeguards, provided that </w:t>
      </w:r>
      <w:r w:rsidR="00AD1C11" w:rsidRPr="00B46ABE">
        <w:rPr>
          <w:lang w:val="en-US"/>
        </w:rPr>
        <w:t xml:space="preserve">the </w:t>
      </w:r>
      <w:r w:rsidRPr="00B46ABE">
        <w:rPr>
          <w:lang w:val="en-US"/>
        </w:rPr>
        <w:t xml:space="preserve">Exporter and Importer </w:t>
      </w:r>
      <w:r w:rsidR="00AD1C11" w:rsidRPr="00B46ABE">
        <w:rPr>
          <w:lang w:val="en-US"/>
        </w:rPr>
        <w:t xml:space="preserve">have no reason to believe that the laws and practices in the third country </w:t>
      </w:r>
      <w:r w:rsidR="00E96F29" w:rsidRPr="00B46ABE">
        <w:rPr>
          <w:lang w:val="en-US"/>
        </w:rPr>
        <w:t>prevent the importer from fulfilling its obligations under the SCC (</w:t>
      </w:r>
      <w:r w:rsidR="00BA2982" w:rsidRPr="00BA2982">
        <w:rPr>
          <w:b/>
          <w:lang w:val="en-US"/>
        </w:rPr>
        <w:t>Problematic Laws</w:t>
      </w:r>
      <w:r w:rsidR="00BA2982">
        <w:rPr>
          <w:lang w:val="en-US"/>
        </w:rPr>
        <w:t>)</w:t>
      </w:r>
      <w:r w:rsidR="003667D0">
        <w:rPr>
          <w:lang w:val="en-US"/>
        </w:rPr>
        <w:t xml:space="preserve">, whereas </w:t>
      </w:r>
      <w:r w:rsidR="002D292B">
        <w:rPr>
          <w:lang w:val="en-US"/>
        </w:rPr>
        <w:t>l</w:t>
      </w:r>
      <w:r w:rsidR="00D009FE">
        <w:rPr>
          <w:lang w:val="en-US"/>
        </w:rPr>
        <w:t>aws and practices that respect the essence of the fundamental rights and freedoms and do not exce</w:t>
      </w:r>
      <w:r w:rsidR="003A3DA8">
        <w:rPr>
          <w:lang w:val="en-US"/>
        </w:rPr>
        <w:t xml:space="preserve">ed what is necessary and proportionate in a democratic society to safeguard one of the objectives listed in Art. 23(1) GDPR are not </w:t>
      </w:r>
      <w:r w:rsidR="00BA2982">
        <w:rPr>
          <w:lang w:val="en-US"/>
        </w:rPr>
        <w:t>Problematic Laws</w:t>
      </w:r>
      <w:r w:rsidR="003667D0">
        <w:rPr>
          <w:lang w:val="en-US"/>
        </w:rPr>
        <w:t xml:space="preserve"> (Art. 14 SCC)</w:t>
      </w:r>
      <w:r w:rsidR="003A3DA8">
        <w:rPr>
          <w:lang w:val="en-US"/>
        </w:rPr>
        <w:t>;</w:t>
      </w:r>
    </w:p>
    <w:p w14:paraId="7FDFF0B3" w14:textId="6270F590" w:rsidR="00BA2982" w:rsidRDefault="00130F45" w:rsidP="00773955">
      <w:pPr>
        <w:pStyle w:val="Randziffern"/>
        <w:tabs>
          <w:tab w:val="left" w:pos="851"/>
        </w:tabs>
        <w:rPr>
          <w:lang w:val="en-US"/>
        </w:rPr>
      </w:pPr>
      <w:r>
        <w:rPr>
          <w:lang w:val="en-US"/>
        </w:rPr>
        <w:t>That the Exporter considers transferring personal data to the US using the SCC as safeguards pursuant to Art. 46</w:t>
      </w:r>
      <w:r w:rsidR="00B450A4">
        <w:rPr>
          <w:lang w:val="en-US"/>
        </w:rPr>
        <w:t>(2)(c)</w:t>
      </w:r>
      <w:r>
        <w:rPr>
          <w:lang w:val="en-US"/>
        </w:rPr>
        <w:t xml:space="preserve"> GDPR</w:t>
      </w:r>
      <w:r w:rsidR="00B450A4">
        <w:rPr>
          <w:lang w:val="en-US"/>
        </w:rPr>
        <w:t>;</w:t>
      </w:r>
    </w:p>
    <w:p w14:paraId="2A4F05B6" w14:textId="1D7B1F63" w:rsidR="00B450A4" w:rsidRDefault="00B450A4" w:rsidP="00773955">
      <w:pPr>
        <w:pStyle w:val="Randziffern"/>
        <w:tabs>
          <w:tab w:val="left" w:pos="851"/>
        </w:tabs>
        <w:rPr>
          <w:lang w:val="en-US"/>
        </w:rPr>
      </w:pPr>
      <w:r>
        <w:rPr>
          <w:lang w:val="en-US"/>
        </w:rPr>
        <w:t xml:space="preserve">That the Exporter has reviewed </w:t>
      </w:r>
      <w:r w:rsidR="004D3150">
        <w:rPr>
          <w:lang w:val="en-US"/>
        </w:rPr>
        <w:t xml:space="preserve">the US laws and practices that may result in access and use of personal data transferred by </w:t>
      </w:r>
      <w:r w:rsidR="00691A09">
        <w:rPr>
          <w:lang w:val="en-US"/>
        </w:rPr>
        <w:t xml:space="preserve">US </w:t>
      </w:r>
      <w:r w:rsidR="004D3150">
        <w:rPr>
          <w:lang w:val="en-US"/>
        </w:rPr>
        <w:t xml:space="preserve">public authorities, as laid out in </w:t>
      </w:r>
      <w:r w:rsidR="00F01BB2">
        <w:rPr>
          <w:lang w:val="en-US"/>
        </w:rPr>
        <w:t>the recitals</w:t>
      </w:r>
      <w:r w:rsidR="00941F46">
        <w:rPr>
          <w:lang w:val="en-US"/>
        </w:rPr>
        <w:t xml:space="preserve"> 90-200 </w:t>
      </w:r>
      <w:r w:rsidR="00F01BB2">
        <w:rPr>
          <w:lang w:val="en-US"/>
        </w:rPr>
        <w:t xml:space="preserve">of </w:t>
      </w:r>
      <w:r w:rsidR="004D3150">
        <w:rPr>
          <w:lang w:val="en-US"/>
        </w:rPr>
        <w:t xml:space="preserve">the European Commission's </w:t>
      </w:r>
      <w:r w:rsidR="00D55299">
        <w:rPr>
          <w:lang w:val="en-US"/>
        </w:rPr>
        <w:t xml:space="preserve">decision of July </w:t>
      </w:r>
      <w:r w:rsidR="00FB7D8F">
        <w:rPr>
          <w:lang w:val="en-US"/>
        </w:rPr>
        <w:t>10</w:t>
      </w:r>
      <w:r w:rsidR="00D55299">
        <w:rPr>
          <w:lang w:val="en-US"/>
        </w:rPr>
        <w:t>, 2023</w:t>
      </w:r>
      <w:r w:rsidR="005923AC">
        <w:rPr>
          <w:lang w:val="en-US"/>
        </w:rPr>
        <w:t>,</w:t>
      </w:r>
      <w:r w:rsidR="00D55299">
        <w:rPr>
          <w:lang w:val="en-US"/>
        </w:rPr>
        <w:t xml:space="preserve"> on the adequate level of protection of personal data </w:t>
      </w:r>
      <w:r w:rsidR="009F593C">
        <w:rPr>
          <w:lang w:val="en-US"/>
        </w:rPr>
        <w:t xml:space="preserve">under the EU-US DPF (the </w:t>
      </w:r>
      <w:r w:rsidR="009F593C" w:rsidRPr="009F593C">
        <w:rPr>
          <w:b/>
          <w:lang w:val="en-US"/>
        </w:rPr>
        <w:t>DPF Decision</w:t>
      </w:r>
      <w:r w:rsidR="009F593C">
        <w:rPr>
          <w:lang w:val="en-US"/>
        </w:rPr>
        <w:t xml:space="preserve">) </w:t>
      </w:r>
      <w:r w:rsidR="00AD2873">
        <w:rPr>
          <w:lang w:val="en-US"/>
        </w:rPr>
        <w:t>and the materials referred to therein</w:t>
      </w:r>
      <w:r w:rsidR="00782EDD">
        <w:rPr>
          <w:lang w:val="en-US"/>
        </w:rPr>
        <w:t xml:space="preserve"> (</w:t>
      </w:r>
      <w:r w:rsidR="00366AB8">
        <w:rPr>
          <w:lang w:val="en-US"/>
        </w:rPr>
        <w:t xml:space="preserve">incl. </w:t>
      </w:r>
      <w:r w:rsidR="00782EDD">
        <w:rPr>
          <w:lang w:val="en-US"/>
        </w:rPr>
        <w:t>Annex</w:t>
      </w:r>
      <w:r w:rsidR="00366AB8">
        <w:rPr>
          <w:lang w:val="en-US"/>
        </w:rPr>
        <w:t>es</w:t>
      </w:r>
      <w:r w:rsidR="00782EDD">
        <w:rPr>
          <w:lang w:val="en-US"/>
        </w:rPr>
        <w:t xml:space="preserve"> VI and VII)</w:t>
      </w:r>
      <w:r w:rsidR="001666A9">
        <w:rPr>
          <w:lang w:val="en-US"/>
        </w:rPr>
        <w:t>;</w:t>
      </w:r>
    </w:p>
    <w:p w14:paraId="6DFB4E0E" w14:textId="16A1A819" w:rsidR="00EB4C58" w:rsidRDefault="001666A9" w:rsidP="00773955">
      <w:pPr>
        <w:pStyle w:val="Randziffern"/>
        <w:tabs>
          <w:tab w:val="left" w:pos="851"/>
        </w:tabs>
        <w:rPr>
          <w:lang w:val="en-US"/>
        </w:rPr>
      </w:pPr>
      <w:r>
        <w:rPr>
          <w:lang w:val="en-US"/>
        </w:rPr>
        <w:t>That the European Commission</w:t>
      </w:r>
      <w:r w:rsidR="00782EDD">
        <w:rPr>
          <w:lang w:val="en-US"/>
        </w:rPr>
        <w:t xml:space="preserve">, based on </w:t>
      </w:r>
      <w:r w:rsidR="0054295D">
        <w:rPr>
          <w:lang w:val="en-US"/>
        </w:rPr>
        <w:t xml:space="preserve">its </w:t>
      </w:r>
      <w:r w:rsidR="00EA2B7C">
        <w:rPr>
          <w:lang w:val="en-US"/>
        </w:rPr>
        <w:t>review</w:t>
      </w:r>
      <w:r w:rsidR="00366AB8">
        <w:rPr>
          <w:lang w:val="en-US"/>
        </w:rPr>
        <w:t xml:space="preserve"> of the foregoing</w:t>
      </w:r>
      <w:r w:rsidR="00782EDD">
        <w:rPr>
          <w:lang w:val="en-US"/>
        </w:rPr>
        <w:t>, considers that any interference in the public interest, in particular for criminal law enforcement and national security purposes, by US public authorities with the fundamental rights of the individuals whose personal data are transferred</w:t>
      </w:r>
      <w:r w:rsidR="000C0F5F">
        <w:rPr>
          <w:lang w:val="en-US"/>
        </w:rPr>
        <w:t xml:space="preserve"> will be limited to what is strictly necessary to achieve the legitimate objective in question, and that effective legal protection against such interference exists</w:t>
      </w:r>
      <w:r w:rsidR="008A46A3">
        <w:rPr>
          <w:lang w:val="en-US"/>
        </w:rPr>
        <w:t xml:space="preserve"> (recital 203 DPF Decision)</w:t>
      </w:r>
      <w:r w:rsidR="00CE66A1">
        <w:rPr>
          <w:lang w:val="en-US"/>
        </w:rPr>
        <w:t xml:space="preserve">, </w:t>
      </w:r>
      <w:r w:rsidR="002C2EF5">
        <w:rPr>
          <w:lang w:val="en-US"/>
        </w:rPr>
        <w:t>in particular given the implementation of E</w:t>
      </w:r>
      <w:r w:rsidR="00A96F7D">
        <w:rPr>
          <w:lang w:val="en-US"/>
        </w:rPr>
        <w:t>O</w:t>
      </w:r>
      <w:r w:rsidR="002C2EF5">
        <w:rPr>
          <w:lang w:val="en-US"/>
        </w:rPr>
        <w:t xml:space="preserve"> 14086 and </w:t>
      </w:r>
      <w:r w:rsidR="00464556">
        <w:rPr>
          <w:lang w:val="en-US"/>
        </w:rPr>
        <w:t xml:space="preserve">designation of the EU as a qualifying organization, </w:t>
      </w:r>
      <w:r w:rsidR="004D2D9E">
        <w:rPr>
          <w:lang w:val="en-US"/>
        </w:rPr>
        <w:t xml:space="preserve">thus </w:t>
      </w:r>
      <w:r w:rsidR="00CE66A1">
        <w:rPr>
          <w:lang w:val="en-US"/>
        </w:rPr>
        <w:t xml:space="preserve">concluding that US </w:t>
      </w:r>
      <w:r w:rsidR="00A677E5">
        <w:rPr>
          <w:lang w:val="en-US"/>
        </w:rPr>
        <w:t xml:space="preserve">government access </w:t>
      </w:r>
      <w:r w:rsidR="00CE66A1">
        <w:rPr>
          <w:lang w:val="en-US"/>
        </w:rPr>
        <w:t>law</w:t>
      </w:r>
      <w:r w:rsidR="00A677E5">
        <w:rPr>
          <w:lang w:val="en-US"/>
        </w:rPr>
        <w:t>s</w:t>
      </w:r>
      <w:r w:rsidR="00CE66A1">
        <w:rPr>
          <w:lang w:val="en-US"/>
        </w:rPr>
        <w:t xml:space="preserve"> </w:t>
      </w:r>
      <w:r w:rsidR="00A677E5">
        <w:rPr>
          <w:lang w:val="en-US"/>
        </w:rPr>
        <w:t>are no longer to be considered Problematic Laws</w:t>
      </w:r>
      <w:r w:rsidR="008A46A3">
        <w:rPr>
          <w:lang w:val="en-US"/>
        </w:rPr>
        <w:t>;</w:t>
      </w:r>
    </w:p>
    <w:p w14:paraId="58F49AE7" w14:textId="78B12298" w:rsidR="001666A9" w:rsidRDefault="00EB4C58" w:rsidP="00EB4C58">
      <w:pPr>
        <w:pStyle w:val="Randziffern"/>
        <w:numPr>
          <w:ilvl w:val="0"/>
          <w:numId w:val="0"/>
        </w:numPr>
        <w:tabs>
          <w:tab w:val="left" w:pos="851"/>
        </w:tabs>
        <w:rPr>
          <w:lang w:val="en-US"/>
        </w:rPr>
      </w:pPr>
      <w:r>
        <w:rPr>
          <w:lang w:val="en-US"/>
        </w:rPr>
        <w:t xml:space="preserve">The Exporter </w:t>
      </w:r>
      <w:r w:rsidR="00EA2B7C">
        <w:rPr>
          <w:lang w:val="en-US"/>
        </w:rPr>
        <w:t>agrees with the European Commission's finding and</w:t>
      </w:r>
      <w:r w:rsidR="00464556">
        <w:rPr>
          <w:lang w:val="en-US"/>
        </w:rPr>
        <w:t>, as well,</w:t>
      </w:r>
      <w:r w:rsidR="00EA2B7C">
        <w:rPr>
          <w:lang w:val="en-US"/>
        </w:rPr>
        <w:t xml:space="preserve"> </w:t>
      </w:r>
      <w:r>
        <w:rPr>
          <w:lang w:val="en-US"/>
        </w:rPr>
        <w:t xml:space="preserve">concludes </w:t>
      </w:r>
      <w:r w:rsidR="00464556">
        <w:rPr>
          <w:lang w:val="en-US"/>
        </w:rPr>
        <w:t xml:space="preserve">for its own purposes </w:t>
      </w:r>
      <w:r>
        <w:rPr>
          <w:lang w:val="en-US"/>
        </w:rPr>
        <w:t xml:space="preserve">that </w:t>
      </w:r>
      <w:r w:rsidR="005B2011">
        <w:rPr>
          <w:lang w:val="en-US"/>
        </w:rPr>
        <w:t xml:space="preserve">it has no reason to believe that </w:t>
      </w:r>
      <w:r w:rsidR="007C0AD3">
        <w:rPr>
          <w:lang w:val="en-US"/>
        </w:rPr>
        <w:t xml:space="preserve">its </w:t>
      </w:r>
      <w:r w:rsidR="00487BAD">
        <w:rPr>
          <w:lang w:val="en-US"/>
        </w:rPr>
        <w:t>transfer</w:t>
      </w:r>
      <w:r w:rsidR="007C0AD3">
        <w:rPr>
          <w:lang w:val="en-US"/>
        </w:rPr>
        <w:t>s</w:t>
      </w:r>
      <w:r w:rsidR="00487BAD">
        <w:rPr>
          <w:lang w:val="en-US"/>
        </w:rPr>
        <w:t xml:space="preserve"> of personal data to the US will be subject to Problematic Laws</w:t>
      </w:r>
      <w:r w:rsidR="009D3427">
        <w:rPr>
          <w:lang w:val="en-US"/>
        </w:rPr>
        <w:t xml:space="preserve"> in the US</w:t>
      </w:r>
      <w:r w:rsidR="00680A89">
        <w:rPr>
          <w:lang w:val="en-US"/>
        </w:rPr>
        <w:t>.</w:t>
      </w:r>
    </w:p>
    <w:p w14:paraId="1442D70B" w14:textId="23F39A4F" w:rsidR="00BD25C4" w:rsidRDefault="00BD25C4" w:rsidP="00BD25C4">
      <w:pPr>
        <w:pStyle w:val="berschrift1"/>
        <w:numPr>
          <w:ilvl w:val="0"/>
          <w:numId w:val="0"/>
        </w:numPr>
        <w:ind w:left="851" w:hanging="851"/>
        <w:rPr>
          <w:lang w:val="en-US"/>
        </w:rPr>
      </w:pPr>
      <w:r>
        <w:rPr>
          <w:lang w:val="en-US"/>
        </w:rPr>
        <w:lastRenderedPageBreak/>
        <w:t>Addendum for Switzerland</w:t>
      </w:r>
    </w:p>
    <w:p w14:paraId="54CC5A18" w14:textId="77777777" w:rsidR="00EF3314" w:rsidRDefault="00EF3314" w:rsidP="00EF3314">
      <w:pPr>
        <w:pStyle w:val="Normal0"/>
        <w:rPr>
          <w:lang w:val="en-US"/>
        </w:rPr>
      </w:pPr>
    </w:p>
    <w:p w14:paraId="3EA93BB6" w14:textId="77777777" w:rsidR="00EF3314" w:rsidRDefault="00EF3314" w:rsidP="00EF3314">
      <w:pPr>
        <w:pStyle w:val="Normal0"/>
        <w:rPr>
          <w:lang w:val="en-US"/>
        </w:rPr>
      </w:pPr>
      <w:r>
        <w:rPr>
          <w:lang w:val="en-US"/>
        </w:rPr>
        <w:t xml:space="preserve">Made by: </w:t>
      </w:r>
      <w:r>
        <w:rPr>
          <w:lang w:val="en-US"/>
        </w:rPr>
        <w:tab/>
        <w:t>[</w:t>
      </w:r>
      <w:r w:rsidRPr="009D3427">
        <w:rPr>
          <w:highlight w:val="yellow"/>
          <w:lang w:val="en-US"/>
        </w:rPr>
        <w:t>Name of organization</w:t>
      </w:r>
      <w:r>
        <w:rPr>
          <w:lang w:val="en-US"/>
        </w:rPr>
        <w:t xml:space="preserve">] (the </w:t>
      </w:r>
      <w:r w:rsidRPr="00773955">
        <w:rPr>
          <w:b/>
          <w:lang w:val="en-US"/>
        </w:rPr>
        <w:t>Exporter</w:t>
      </w:r>
      <w:r>
        <w:rPr>
          <w:lang w:val="en-US"/>
        </w:rPr>
        <w:t>)</w:t>
      </w:r>
    </w:p>
    <w:p w14:paraId="7D648BA8" w14:textId="77777777" w:rsidR="00EF3314" w:rsidRDefault="00EF3314" w:rsidP="00EF3314">
      <w:pPr>
        <w:pStyle w:val="Normal0"/>
        <w:rPr>
          <w:lang w:val="en-US"/>
        </w:rPr>
      </w:pPr>
      <w:r>
        <w:rPr>
          <w:lang w:val="en-US"/>
        </w:rPr>
        <w:t>Date:</w:t>
      </w:r>
      <w:r>
        <w:rPr>
          <w:lang w:val="en-US"/>
        </w:rPr>
        <w:tab/>
      </w:r>
      <w:r>
        <w:rPr>
          <w:lang w:val="en-US"/>
        </w:rPr>
        <w:tab/>
        <w:t>[</w:t>
      </w:r>
      <w:r w:rsidRPr="009D3427">
        <w:rPr>
          <w:highlight w:val="yellow"/>
          <w:lang w:val="en-US"/>
        </w:rPr>
        <w:t>Date</w:t>
      </w:r>
      <w:r>
        <w:rPr>
          <w:lang w:val="en-US"/>
        </w:rPr>
        <w:t>]</w:t>
      </w:r>
    </w:p>
    <w:p w14:paraId="12BFC162" w14:textId="77777777" w:rsidR="00BD25C4" w:rsidRDefault="00BD25C4" w:rsidP="00EB4C58">
      <w:pPr>
        <w:pStyle w:val="Randziffern"/>
        <w:numPr>
          <w:ilvl w:val="0"/>
          <w:numId w:val="0"/>
        </w:numPr>
        <w:tabs>
          <w:tab w:val="left" w:pos="851"/>
        </w:tabs>
        <w:rPr>
          <w:lang w:val="en-US"/>
        </w:rPr>
      </w:pPr>
    </w:p>
    <w:p w14:paraId="4CF15A40" w14:textId="29CF1410" w:rsidR="00BD25C4" w:rsidRDefault="00EF3314" w:rsidP="00EB4C58">
      <w:pPr>
        <w:pStyle w:val="Randziffern"/>
        <w:numPr>
          <w:ilvl w:val="0"/>
          <w:numId w:val="0"/>
        </w:numPr>
        <w:tabs>
          <w:tab w:val="left" w:pos="851"/>
        </w:tabs>
        <w:rPr>
          <w:lang w:val="en-US"/>
        </w:rPr>
      </w:pPr>
      <w:r>
        <w:rPr>
          <w:lang w:val="en-US"/>
        </w:rPr>
        <w:t>Considering:</w:t>
      </w:r>
    </w:p>
    <w:p w14:paraId="0429AE2F" w14:textId="4D79DFC0" w:rsidR="00EF3314" w:rsidRDefault="00EF3314" w:rsidP="00EF3314">
      <w:pPr>
        <w:pStyle w:val="Randziffern"/>
        <w:numPr>
          <w:ilvl w:val="0"/>
          <w:numId w:val="35"/>
        </w:numPr>
        <w:rPr>
          <w:lang w:val="en-US"/>
        </w:rPr>
      </w:pPr>
      <w:r>
        <w:rPr>
          <w:lang w:val="en-US"/>
        </w:rPr>
        <w:t>That the Exporter is located in Switzerland and subject to the Federal Data Protection Act (</w:t>
      </w:r>
      <w:r w:rsidRPr="00EF3314">
        <w:rPr>
          <w:b/>
          <w:lang w:val="en-US"/>
        </w:rPr>
        <w:t>DPA</w:t>
      </w:r>
      <w:r>
        <w:rPr>
          <w:lang w:val="en-US"/>
        </w:rPr>
        <w:t>)</w:t>
      </w:r>
      <w:r w:rsidRPr="00EF3314">
        <w:rPr>
          <w:lang w:val="en-US"/>
        </w:rPr>
        <w:t>;</w:t>
      </w:r>
    </w:p>
    <w:p w14:paraId="0AD938CF" w14:textId="1AF68792" w:rsidR="009A19CE" w:rsidRPr="0031009C" w:rsidRDefault="0009788B" w:rsidP="0031009C">
      <w:pPr>
        <w:pStyle w:val="Randziffern"/>
        <w:numPr>
          <w:ilvl w:val="0"/>
          <w:numId w:val="35"/>
        </w:numPr>
        <w:rPr>
          <w:lang w:val="en-US"/>
        </w:rPr>
      </w:pPr>
      <w:r>
        <w:rPr>
          <w:lang w:val="en-US"/>
        </w:rPr>
        <w:t xml:space="preserve">That the Exporter </w:t>
      </w:r>
      <w:r w:rsidR="007070EF">
        <w:rPr>
          <w:lang w:val="en-US"/>
        </w:rPr>
        <w:t xml:space="preserve">enters into </w:t>
      </w:r>
      <w:r w:rsidR="003A262E">
        <w:rPr>
          <w:lang w:val="en-US"/>
        </w:rPr>
        <w:t>service</w:t>
      </w:r>
      <w:r w:rsidR="007070EF">
        <w:rPr>
          <w:lang w:val="en-US"/>
        </w:rPr>
        <w:t>/</w:t>
      </w:r>
      <w:r w:rsidR="003A262E">
        <w:rPr>
          <w:lang w:val="en-US"/>
        </w:rPr>
        <w:t xml:space="preserve">cloud contracts </w:t>
      </w:r>
      <w:r w:rsidR="0059089E">
        <w:rPr>
          <w:lang w:val="en-US"/>
        </w:rPr>
        <w:t xml:space="preserve">with </w:t>
      </w:r>
      <w:r w:rsidR="007C330C">
        <w:rPr>
          <w:lang w:val="en-US"/>
        </w:rPr>
        <w:t xml:space="preserve">service providers </w:t>
      </w:r>
      <w:r w:rsidR="005E0C3F">
        <w:rPr>
          <w:lang w:val="en-US"/>
        </w:rPr>
        <w:t>(</w:t>
      </w:r>
      <w:r w:rsidR="005E0C3F" w:rsidRPr="005E0C3F">
        <w:rPr>
          <w:b/>
          <w:lang w:val="en-US"/>
        </w:rPr>
        <w:t>Providers</w:t>
      </w:r>
      <w:r w:rsidR="005E0C3F">
        <w:rPr>
          <w:lang w:val="en-US"/>
        </w:rPr>
        <w:t xml:space="preserve">) </w:t>
      </w:r>
      <w:r w:rsidR="0059089E">
        <w:rPr>
          <w:lang w:val="en-US"/>
        </w:rPr>
        <w:t xml:space="preserve">with </w:t>
      </w:r>
      <w:r w:rsidR="00F503EC">
        <w:rPr>
          <w:lang w:val="en-US"/>
        </w:rPr>
        <w:t xml:space="preserve">their seat </w:t>
      </w:r>
      <w:r w:rsidR="007070EF">
        <w:rPr>
          <w:lang w:val="en-US"/>
        </w:rPr>
        <w:t xml:space="preserve">being </w:t>
      </w:r>
      <w:r w:rsidR="007C330C">
        <w:rPr>
          <w:lang w:val="en-US"/>
        </w:rPr>
        <w:t xml:space="preserve">in the European </w:t>
      </w:r>
      <w:r w:rsidR="0080140A">
        <w:rPr>
          <w:lang w:val="en-US"/>
        </w:rPr>
        <w:t xml:space="preserve">Union </w:t>
      </w:r>
      <w:r w:rsidR="007C330C">
        <w:rPr>
          <w:lang w:val="en-US"/>
        </w:rPr>
        <w:t>(</w:t>
      </w:r>
      <w:r w:rsidR="0080140A">
        <w:rPr>
          <w:b/>
          <w:lang w:val="en-US"/>
        </w:rPr>
        <w:t>EU</w:t>
      </w:r>
      <w:r w:rsidR="007C330C">
        <w:rPr>
          <w:lang w:val="en-US"/>
        </w:rPr>
        <w:t>)</w:t>
      </w:r>
      <w:r w:rsidR="005E0C3F">
        <w:rPr>
          <w:lang w:val="en-US"/>
        </w:rPr>
        <w:t>;</w:t>
      </w:r>
    </w:p>
    <w:p w14:paraId="10B707C1" w14:textId="0A19BF0A" w:rsidR="0009788B" w:rsidRDefault="005E0C3F" w:rsidP="00EF3314">
      <w:pPr>
        <w:pStyle w:val="Randziffern"/>
        <w:numPr>
          <w:ilvl w:val="0"/>
          <w:numId w:val="35"/>
        </w:numPr>
        <w:rPr>
          <w:lang w:val="en-US"/>
        </w:rPr>
      </w:pPr>
      <w:r>
        <w:rPr>
          <w:lang w:val="en-US"/>
        </w:rPr>
        <w:t xml:space="preserve">That the Providers </w:t>
      </w:r>
      <w:r w:rsidR="009A6EC4">
        <w:rPr>
          <w:lang w:val="en-US"/>
        </w:rPr>
        <w:t>will</w:t>
      </w:r>
      <w:r>
        <w:rPr>
          <w:lang w:val="en-US"/>
        </w:rPr>
        <w:t xml:space="preserve"> </w:t>
      </w:r>
      <w:r w:rsidR="00AF4856">
        <w:rPr>
          <w:lang w:val="en-US"/>
        </w:rPr>
        <w:t xml:space="preserve">or may have to </w:t>
      </w:r>
      <w:r>
        <w:rPr>
          <w:lang w:val="en-US"/>
        </w:rPr>
        <w:t xml:space="preserve">onward </w:t>
      </w:r>
      <w:r w:rsidR="007C330C">
        <w:rPr>
          <w:lang w:val="en-US"/>
        </w:rPr>
        <w:t xml:space="preserve">transfer </w:t>
      </w:r>
      <w:r>
        <w:rPr>
          <w:lang w:val="en-US"/>
        </w:rPr>
        <w:t xml:space="preserve">the Exporter's </w:t>
      </w:r>
      <w:r w:rsidR="007C330C">
        <w:rPr>
          <w:lang w:val="en-US"/>
        </w:rPr>
        <w:t xml:space="preserve">personal data to </w:t>
      </w:r>
      <w:r>
        <w:rPr>
          <w:lang w:val="en-US"/>
        </w:rPr>
        <w:t xml:space="preserve">sub-processors </w:t>
      </w:r>
      <w:r w:rsidR="005A4DEA">
        <w:rPr>
          <w:lang w:val="en-US"/>
        </w:rPr>
        <w:t xml:space="preserve">in </w:t>
      </w:r>
      <w:r w:rsidR="007C330C">
        <w:rPr>
          <w:lang w:val="en-US"/>
        </w:rPr>
        <w:t>the United States of America (</w:t>
      </w:r>
      <w:r w:rsidR="007C330C" w:rsidRPr="007C330C">
        <w:rPr>
          <w:b/>
          <w:lang w:val="en-US"/>
        </w:rPr>
        <w:t>US</w:t>
      </w:r>
      <w:r w:rsidR="007C330C">
        <w:rPr>
          <w:lang w:val="en-US"/>
        </w:rPr>
        <w:t>);</w:t>
      </w:r>
    </w:p>
    <w:p w14:paraId="49FF1696" w14:textId="379EC314" w:rsidR="0080140A" w:rsidRDefault="0080140A" w:rsidP="00EF3314">
      <w:pPr>
        <w:pStyle w:val="Randziffern"/>
        <w:numPr>
          <w:ilvl w:val="0"/>
          <w:numId w:val="35"/>
        </w:numPr>
        <w:rPr>
          <w:lang w:val="en-US"/>
        </w:rPr>
      </w:pPr>
      <w:r>
        <w:rPr>
          <w:lang w:val="en-US"/>
        </w:rPr>
        <w:t>That the Providers are subject to the EU General Data Protection Regulation (</w:t>
      </w:r>
      <w:r w:rsidRPr="0080140A">
        <w:rPr>
          <w:b/>
          <w:lang w:val="en-US"/>
        </w:rPr>
        <w:t>GDPR</w:t>
      </w:r>
      <w:r>
        <w:rPr>
          <w:lang w:val="en-US"/>
        </w:rPr>
        <w:t>)</w:t>
      </w:r>
      <w:r w:rsidR="0080410E">
        <w:rPr>
          <w:lang w:val="en-US"/>
        </w:rPr>
        <w:t xml:space="preserve"> and are</w:t>
      </w:r>
      <w:r w:rsidR="00AF4856">
        <w:rPr>
          <w:lang w:val="en-US"/>
        </w:rPr>
        <w:t>,</w:t>
      </w:r>
      <w:r w:rsidR="0080410E">
        <w:rPr>
          <w:lang w:val="en-US"/>
        </w:rPr>
        <w:t xml:space="preserve"> thus</w:t>
      </w:r>
      <w:r w:rsidR="00AF4856">
        <w:rPr>
          <w:lang w:val="en-US"/>
        </w:rPr>
        <w:t>,</w:t>
      </w:r>
      <w:r w:rsidR="0080410E">
        <w:rPr>
          <w:lang w:val="en-US"/>
        </w:rPr>
        <w:t xml:space="preserve"> bound </w:t>
      </w:r>
      <w:r w:rsidR="005A4DEA">
        <w:rPr>
          <w:lang w:val="en-US"/>
        </w:rPr>
        <w:t xml:space="preserve">by </w:t>
      </w:r>
      <w:r w:rsidR="0080410E">
        <w:rPr>
          <w:lang w:val="en-US"/>
        </w:rPr>
        <w:t xml:space="preserve">Chapter V of the GDPR with regard to any such onward transfers of </w:t>
      </w:r>
      <w:r w:rsidR="00A30192">
        <w:rPr>
          <w:lang w:val="en-US"/>
        </w:rPr>
        <w:t xml:space="preserve">the Exporter's </w:t>
      </w:r>
      <w:r w:rsidR="0080410E">
        <w:rPr>
          <w:lang w:val="en-US"/>
        </w:rPr>
        <w:t>personal data;</w:t>
      </w:r>
    </w:p>
    <w:p w14:paraId="524BE6AB" w14:textId="57905C9F" w:rsidR="0080410E" w:rsidRDefault="0080410E" w:rsidP="00EF3314">
      <w:pPr>
        <w:pStyle w:val="Randziffern"/>
        <w:numPr>
          <w:ilvl w:val="0"/>
          <w:numId w:val="35"/>
        </w:numPr>
        <w:rPr>
          <w:lang w:val="en-US"/>
        </w:rPr>
      </w:pPr>
      <w:r>
        <w:rPr>
          <w:lang w:val="en-US"/>
        </w:rPr>
        <w:t>That such transfers of personal data to the US are compliant with Chapter V of the GDPR if based on the EU-US Data Privacy Framework (</w:t>
      </w:r>
      <w:r w:rsidRPr="009A3BF8">
        <w:rPr>
          <w:b/>
          <w:lang w:val="en-US"/>
        </w:rPr>
        <w:t>EU-US DPF</w:t>
      </w:r>
      <w:r>
        <w:rPr>
          <w:lang w:val="en-US"/>
        </w:rPr>
        <w:t>) or the Standard Contractual Clauses approved by the European Commission on June 4, 2021</w:t>
      </w:r>
      <w:r w:rsidR="002A41B7">
        <w:rPr>
          <w:lang w:val="en-US"/>
        </w:rPr>
        <w:t xml:space="preserve">, subject to </w:t>
      </w:r>
      <w:r w:rsidR="00111D0A">
        <w:rPr>
          <w:lang w:val="en-US"/>
        </w:rPr>
        <w:t>a</w:t>
      </w:r>
      <w:r w:rsidR="002A41B7">
        <w:rPr>
          <w:lang w:val="en-US"/>
        </w:rPr>
        <w:t>n adequate TIA;</w:t>
      </w:r>
    </w:p>
    <w:p w14:paraId="709B96DC" w14:textId="0E4FC73B" w:rsidR="0080410E" w:rsidRDefault="0080410E" w:rsidP="00EF3314">
      <w:pPr>
        <w:pStyle w:val="Randziffern"/>
        <w:numPr>
          <w:ilvl w:val="0"/>
          <w:numId w:val="35"/>
        </w:numPr>
        <w:rPr>
          <w:lang w:val="en-US"/>
        </w:rPr>
      </w:pPr>
      <w:r>
        <w:rPr>
          <w:lang w:val="en-US"/>
        </w:rPr>
        <w:t xml:space="preserve">That </w:t>
      </w:r>
      <w:r w:rsidR="0006256A">
        <w:rPr>
          <w:lang w:val="en-US"/>
        </w:rPr>
        <w:t>the Providers</w:t>
      </w:r>
      <w:r w:rsidR="009D790D">
        <w:rPr>
          <w:lang w:val="en-US"/>
        </w:rPr>
        <w:t>' transfers</w:t>
      </w:r>
      <w:r w:rsidR="0006256A">
        <w:rPr>
          <w:lang w:val="en-US"/>
        </w:rPr>
        <w:t xml:space="preserve"> fulfill </w:t>
      </w:r>
      <w:r w:rsidR="009143AC">
        <w:rPr>
          <w:lang w:val="en-US"/>
        </w:rPr>
        <w:t xml:space="preserve">these </w:t>
      </w:r>
      <w:r w:rsidR="009A3BF8">
        <w:rPr>
          <w:lang w:val="en-US"/>
        </w:rPr>
        <w:t>conditions</w:t>
      </w:r>
      <w:r w:rsidR="0006256A">
        <w:rPr>
          <w:lang w:val="en-US"/>
        </w:rPr>
        <w:t>;</w:t>
      </w:r>
    </w:p>
    <w:p w14:paraId="05068D3E" w14:textId="259ADBAE" w:rsidR="00037032" w:rsidRPr="00CC5C83" w:rsidRDefault="00EF3314" w:rsidP="00EF3314">
      <w:pPr>
        <w:pStyle w:val="Randziffern"/>
        <w:numPr>
          <w:ilvl w:val="0"/>
          <w:numId w:val="35"/>
        </w:numPr>
        <w:rPr>
          <w:lang w:val="en-US"/>
        </w:rPr>
      </w:pPr>
      <w:r w:rsidRPr="00CC5C83">
        <w:rPr>
          <w:lang w:val="en-US"/>
        </w:rPr>
        <w:t xml:space="preserve">That </w:t>
      </w:r>
      <w:r w:rsidR="009A3BF8" w:rsidRPr="00CC5C83">
        <w:rPr>
          <w:lang w:val="en-US"/>
        </w:rPr>
        <w:t xml:space="preserve">while the </w:t>
      </w:r>
      <w:r w:rsidRPr="00CC5C83">
        <w:rPr>
          <w:lang w:val="en-US"/>
        </w:rPr>
        <w:t xml:space="preserve">EU-US DPF does not apply to data transfers out of Switzerland and Switzerland has not yet been </w:t>
      </w:r>
      <w:r w:rsidR="0080692D" w:rsidRPr="00CC5C83">
        <w:rPr>
          <w:lang w:val="en-US"/>
        </w:rPr>
        <w:t xml:space="preserve">designated a qualifying </w:t>
      </w:r>
      <w:r w:rsidR="00A52681" w:rsidRPr="00CC5C83">
        <w:rPr>
          <w:lang w:val="en-US"/>
        </w:rPr>
        <w:t xml:space="preserve">state </w:t>
      </w:r>
      <w:r w:rsidR="009A3BF8" w:rsidRPr="00CC5C83">
        <w:rPr>
          <w:lang w:val="en-US"/>
        </w:rPr>
        <w:t xml:space="preserve">under </w:t>
      </w:r>
      <w:r w:rsidR="0080692D" w:rsidRPr="00CC5C83">
        <w:rPr>
          <w:lang w:val="en-US"/>
        </w:rPr>
        <w:t>EO 14086</w:t>
      </w:r>
      <w:r w:rsidR="00CC5C83" w:rsidRPr="00CC5C83">
        <w:rPr>
          <w:lang w:val="en-US"/>
        </w:rPr>
        <w:t xml:space="preserve">, the </w:t>
      </w:r>
      <w:r w:rsidR="009D66D2" w:rsidRPr="00CC5C83">
        <w:rPr>
          <w:lang w:val="en-US"/>
        </w:rPr>
        <w:t>Data Protection Review Court (</w:t>
      </w:r>
      <w:r w:rsidR="009D66D2" w:rsidRPr="00CC5C83">
        <w:rPr>
          <w:b/>
          <w:lang w:val="en-US"/>
        </w:rPr>
        <w:t>DPRC</w:t>
      </w:r>
      <w:r w:rsidR="009D66D2" w:rsidRPr="00CC5C83">
        <w:rPr>
          <w:lang w:val="en-US"/>
        </w:rPr>
        <w:t xml:space="preserve">) procedure </w:t>
      </w:r>
      <w:r w:rsidR="00361C81" w:rsidRPr="00CC5C83">
        <w:rPr>
          <w:lang w:val="en-US"/>
        </w:rPr>
        <w:t xml:space="preserve">provided for by </w:t>
      </w:r>
      <w:r w:rsidR="00CC5C83">
        <w:rPr>
          <w:lang w:val="en-US"/>
        </w:rPr>
        <w:t xml:space="preserve">it </w:t>
      </w:r>
      <w:r w:rsidR="00361C81" w:rsidRPr="00CC5C83">
        <w:rPr>
          <w:lang w:val="en-US"/>
        </w:rPr>
        <w:t xml:space="preserve">applies to </w:t>
      </w:r>
      <w:r w:rsidR="007F7E63" w:rsidRPr="00CC5C83">
        <w:rPr>
          <w:lang w:val="en-US"/>
        </w:rPr>
        <w:t xml:space="preserve">(i) </w:t>
      </w:r>
      <w:r w:rsidR="00361C81" w:rsidRPr="00CC5C83">
        <w:rPr>
          <w:lang w:val="en-US"/>
        </w:rPr>
        <w:t xml:space="preserve">any </w:t>
      </w:r>
      <w:r w:rsidR="00681F03" w:rsidRPr="00CC5C83">
        <w:rPr>
          <w:lang w:val="en-US"/>
        </w:rPr>
        <w:t xml:space="preserve">data subject who has filed its complaint </w:t>
      </w:r>
      <w:r w:rsidR="00E82C57" w:rsidRPr="00CC5C83">
        <w:rPr>
          <w:lang w:val="en-US"/>
        </w:rPr>
        <w:t>via a</w:t>
      </w:r>
      <w:r w:rsidR="00F70690" w:rsidRPr="00CC5C83">
        <w:rPr>
          <w:lang w:val="en-US"/>
        </w:rPr>
        <w:t xml:space="preserve">n appropriate public authority of a qualifying state and </w:t>
      </w:r>
      <w:r w:rsidR="008B2EDE" w:rsidRPr="00CC5C83">
        <w:rPr>
          <w:lang w:val="en-US"/>
        </w:rPr>
        <w:t xml:space="preserve">(ii) its personal data is </w:t>
      </w:r>
      <w:r w:rsidR="00F70690" w:rsidRPr="00CC5C83">
        <w:rPr>
          <w:lang w:val="en-US"/>
        </w:rPr>
        <w:t>reasonably believe</w:t>
      </w:r>
      <w:r w:rsidR="008B2EDE" w:rsidRPr="00CC5C83">
        <w:rPr>
          <w:lang w:val="en-US"/>
        </w:rPr>
        <w:t xml:space="preserve">d to have been </w:t>
      </w:r>
      <w:r w:rsidR="00037032" w:rsidRPr="00CC5C83">
        <w:rPr>
          <w:lang w:val="en-US"/>
        </w:rPr>
        <w:t>transferred to the US from a qualifying state</w:t>
      </w:r>
      <w:r w:rsidR="0009788B" w:rsidRPr="00CC5C83">
        <w:rPr>
          <w:lang w:val="en-US"/>
        </w:rPr>
        <w:t xml:space="preserve"> or organization</w:t>
      </w:r>
      <w:r w:rsidR="00037032" w:rsidRPr="00CC5C83">
        <w:rPr>
          <w:lang w:val="en-US"/>
        </w:rPr>
        <w:t>;</w:t>
      </w:r>
    </w:p>
    <w:p w14:paraId="6E2BA48B" w14:textId="075A6B29" w:rsidR="00F97FBE" w:rsidRDefault="00E716E5" w:rsidP="00EF3314">
      <w:pPr>
        <w:pStyle w:val="Randziffern"/>
        <w:numPr>
          <w:ilvl w:val="0"/>
          <w:numId w:val="35"/>
        </w:numPr>
        <w:rPr>
          <w:lang w:val="en-US"/>
        </w:rPr>
      </w:pPr>
      <w:r>
        <w:rPr>
          <w:lang w:val="en-US"/>
        </w:rPr>
        <w:t xml:space="preserve">That </w:t>
      </w:r>
      <w:r w:rsidR="00F97FBE">
        <w:rPr>
          <w:lang w:val="en-US"/>
        </w:rPr>
        <w:t xml:space="preserve">the EU is a qualifying organization and </w:t>
      </w:r>
      <w:r w:rsidR="00DD1409">
        <w:rPr>
          <w:lang w:val="en-US"/>
        </w:rPr>
        <w:t xml:space="preserve">is expected to </w:t>
      </w:r>
      <w:r w:rsidR="00F97FBE">
        <w:rPr>
          <w:lang w:val="en-US"/>
        </w:rPr>
        <w:t xml:space="preserve">permit </w:t>
      </w:r>
      <w:r w:rsidR="001C0E4B">
        <w:rPr>
          <w:lang w:val="en-US"/>
        </w:rPr>
        <w:t xml:space="preserve">any data subject whose </w:t>
      </w:r>
      <w:r w:rsidR="00113280">
        <w:rPr>
          <w:lang w:val="en-US"/>
        </w:rPr>
        <w:t xml:space="preserve">personal </w:t>
      </w:r>
      <w:r w:rsidR="001C0E4B">
        <w:rPr>
          <w:lang w:val="en-US"/>
        </w:rPr>
        <w:t>data is subject to the GDPR to submit DPRC complaints</w:t>
      </w:r>
      <w:r w:rsidR="00DD1409">
        <w:rPr>
          <w:lang w:val="en-US"/>
        </w:rPr>
        <w:t xml:space="preserve">, even if </w:t>
      </w:r>
      <w:r w:rsidR="00A30192">
        <w:rPr>
          <w:lang w:val="en-US"/>
        </w:rPr>
        <w:t>such data subject is located outside the EU</w:t>
      </w:r>
      <w:r w:rsidR="001C0E4B">
        <w:rPr>
          <w:lang w:val="en-US"/>
        </w:rPr>
        <w:t>;</w:t>
      </w:r>
    </w:p>
    <w:p w14:paraId="128371FB" w14:textId="77777777" w:rsidR="00113280" w:rsidRDefault="00113280" w:rsidP="00EF3314">
      <w:pPr>
        <w:pStyle w:val="Randziffern"/>
        <w:numPr>
          <w:ilvl w:val="0"/>
          <w:numId w:val="35"/>
        </w:numPr>
        <w:rPr>
          <w:lang w:val="en-US"/>
        </w:rPr>
      </w:pPr>
      <w:r>
        <w:rPr>
          <w:lang w:val="en-US"/>
        </w:rPr>
        <w:t>T</w:t>
      </w:r>
      <w:r w:rsidR="00E716E5">
        <w:rPr>
          <w:lang w:val="en-US"/>
        </w:rPr>
        <w:t xml:space="preserve">hat </w:t>
      </w:r>
      <w:r w:rsidR="00F97FBE">
        <w:rPr>
          <w:lang w:val="en-US"/>
        </w:rPr>
        <w:t xml:space="preserve">such legal protection, thus, also applies to </w:t>
      </w:r>
      <w:r>
        <w:rPr>
          <w:lang w:val="en-US"/>
        </w:rPr>
        <w:t xml:space="preserve">any personal data </w:t>
      </w:r>
      <w:r w:rsidR="00F97FBE">
        <w:rPr>
          <w:lang w:val="en-US"/>
        </w:rPr>
        <w:t>onward transfer</w:t>
      </w:r>
      <w:r>
        <w:rPr>
          <w:lang w:val="en-US"/>
        </w:rPr>
        <w:t>red by the Providers even if it originated in Switzerland;</w:t>
      </w:r>
    </w:p>
    <w:p w14:paraId="6CBDCC60" w14:textId="12DFE80C" w:rsidR="00775C3C" w:rsidRDefault="0019255A" w:rsidP="00EF3314">
      <w:pPr>
        <w:pStyle w:val="Randziffern"/>
        <w:numPr>
          <w:ilvl w:val="0"/>
          <w:numId w:val="35"/>
        </w:numPr>
        <w:rPr>
          <w:lang w:val="en-US"/>
        </w:rPr>
      </w:pPr>
      <w:r>
        <w:rPr>
          <w:lang w:val="en-US"/>
        </w:rPr>
        <w:t xml:space="preserve">That </w:t>
      </w:r>
      <w:r w:rsidR="00953470">
        <w:rPr>
          <w:lang w:val="en-US"/>
        </w:rPr>
        <w:t>given th</w:t>
      </w:r>
      <w:r w:rsidR="00F503EC">
        <w:rPr>
          <w:lang w:val="en-US"/>
        </w:rPr>
        <w:t>e Providers' seats in the EU, any disclosure of personal data to the Provider</w:t>
      </w:r>
      <w:r w:rsidR="007C6679">
        <w:rPr>
          <w:lang w:val="en-US"/>
        </w:rPr>
        <w:t>s</w:t>
      </w:r>
      <w:r w:rsidR="00F503EC">
        <w:rPr>
          <w:lang w:val="en-US"/>
        </w:rPr>
        <w:t xml:space="preserve"> will </w:t>
      </w:r>
      <w:r w:rsidR="007C6679">
        <w:rPr>
          <w:lang w:val="en-US"/>
        </w:rPr>
        <w:t xml:space="preserve">be considered a disclosure </w:t>
      </w:r>
      <w:r w:rsidR="00F503EC">
        <w:rPr>
          <w:lang w:val="en-US"/>
        </w:rPr>
        <w:t>occurring to a country with an adequate level of data protection as per the DPA</w:t>
      </w:r>
      <w:r w:rsidR="007C6679">
        <w:rPr>
          <w:lang w:val="en-US"/>
        </w:rPr>
        <w:t>, requiring no particular safeguards</w:t>
      </w:r>
      <w:r w:rsidR="00856286">
        <w:rPr>
          <w:lang w:val="en-US"/>
        </w:rPr>
        <w:t xml:space="preserve">, </w:t>
      </w:r>
      <w:r w:rsidR="004D5A44">
        <w:rPr>
          <w:lang w:val="en-US"/>
        </w:rPr>
        <w:t xml:space="preserve">because </w:t>
      </w:r>
      <w:r w:rsidR="00856286">
        <w:rPr>
          <w:lang w:val="en-US"/>
        </w:rPr>
        <w:t xml:space="preserve">any onward transfer is regulated by the data protection law </w:t>
      </w:r>
      <w:r w:rsidR="009B61FC">
        <w:rPr>
          <w:lang w:val="en-US"/>
        </w:rPr>
        <w:t xml:space="preserve">of </w:t>
      </w:r>
      <w:r w:rsidR="00856286">
        <w:rPr>
          <w:lang w:val="en-US"/>
        </w:rPr>
        <w:t>the Provider</w:t>
      </w:r>
      <w:r w:rsidR="009B61FC">
        <w:rPr>
          <w:lang w:val="en-US"/>
        </w:rPr>
        <w:t>s</w:t>
      </w:r>
      <w:r w:rsidR="00856286">
        <w:rPr>
          <w:lang w:val="en-US"/>
        </w:rPr>
        <w:t xml:space="preserve"> (i.e. the GDPR)</w:t>
      </w:r>
      <w:r w:rsidR="00775C3C">
        <w:rPr>
          <w:lang w:val="en-US"/>
        </w:rPr>
        <w:t>;</w:t>
      </w:r>
    </w:p>
    <w:p w14:paraId="5F221151" w14:textId="3FF26622" w:rsidR="004E249C" w:rsidRDefault="00775C3C" w:rsidP="0075443B">
      <w:pPr>
        <w:pStyle w:val="Randziffern"/>
        <w:numPr>
          <w:ilvl w:val="0"/>
          <w:numId w:val="0"/>
        </w:numPr>
        <w:rPr>
          <w:lang w:val="en-US"/>
        </w:rPr>
      </w:pPr>
      <w:r>
        <w:rPr>
          <w:lang w:val="en-US"/>
        </w:rPr>
        <w:t xml:space="preserve">The Exporter concludes that </w:t>
      </w:r>
      <w:r w:rsidR="0031009C">
        <w:rPr>
          <w:lang w:val="en-US"/>
        </w:rPr>
        <w:t xml:space="preserve">any use of </w:t>
      </w:r>
      <w:r w:rsidR="00E51E7C">
        <w:rPr>
          <w:lang w:val="en-US"/>
        </w:rPr>
        <w:t xml:space="preserve">the </w:t>
      </w:r>
      <w:r w:rsidR="0031009C">
        <w:rPr>
          <w:lang w:val="en-US"/>
        </w:rPr>
        <w:t xml:space="preserve">Providers </w:t>
      </w:r>
      <w:r w:rsidR="00E51E7C">
        <w:rPr>
          <w:lang w:val="en-US"/>
        </w:rPr>
        <w:t>is in line with the data export provisions of the DPA</w:t>
      </w:r>
      <w:r w:rsidR="0075443B">
        <w:rPr>
          <w:lang w:val="en-US"/>
        </w:rPr>
        <w:t>, and that the same applies if the Exporter were to use a provider located in Switzerland, provided such provider subcontracts the provision of the services to</w:t>
      </w:r>
      <w:r w:rsidR="008B3E5E">
        <w:rPr>
          <w:lang w:val="en-US"/>
        </w:rPr>
        <w:t xml:space="preserve"> a</w:t>
      </w:r>
      <w:r w:rsidR="0075443B">
        <w:rPr>
          <w:lang w:val="en-US"/>
        </w:rPr>
        <w:t xml:space="preserve"> provider located in the EU.</w:t>
      </w:r>
    </w:p>
    <w:sectPr w:rsidR="004E249C" w:rsidSect="007279E3">
      <w:headerReference w:type="even" r:id="rId7"/>
      <w:headerReference w:type="default" r:id="rId8"/>
      <w:footerReference w:type="even" r:id="rId9"/>
      <w:footerReference w:type="default" r:id="rId10"/>
      <w:headerReference w:type="first" r:id="rId11"/>
      <w:footerReference w:type="first" r:id="rId12"/>
      <w:pgSz w:w="11906" w:h="16838" w:code="9"/>
      <w:pgMar w:top="1911" w:right="992" w:bottom="992" w:left="2835" w:header="39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3C8C3" w14:textId="77777777" w:rsidR="003410C7" w:rsidRDefault="003410C7">
      <w:r>
        <w:separator/>
      </w:r>
    </w:p>
  </w:endnote>
  <w:endnote w:type="continuationSeparator" w:id="0">
    <w:p w14:paraId="0B5395DF" w14:textId="77777777" w:rsidR="003410C7" w:rsidRDefault="0034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BD24" w14:textId="77777777" w:rsidR="000F4395" w:rsidRDefault="000F439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21A6" w14:textId="148DEAFB" w:rsidR="000F41D7" w:rsidRDefault="000F41D7">
    <w:pPr>
      <w:pStyle w:val="Fuzeile"/>
    </w:pPr>
    <w:r>
      <w:rPr>
        <w:noProof/>
        <w:sz w:val="14"/>
        <w:szCs w:val="14"/>
        <w:lang w:eastAsia="de-CH" w:bidi="he-IL"/>
      </w:rPr>
      <mc:AlternateContent>
        <mc:Choice Requires="wps">
          <w:drawing>
            <wp:anchor distT="0" distB="0" distL="114300" distR="114300" simplePos="0" relativeHeight="251659264" behindDoc="0" locked="0" layoutInCell="1" allowOverlap="1" wp14:anchorId="237C5416" wp14:editId="62E467CE">
              <wp:simplePos x="0" y="0"/>
              <wp:positionH relativeFrom="column">
                <wp:posOffset>-1287780</wp:posOffset>
              </wp:positionH>
              <wp:positionV relativeFrom="paragraph">
                <wp:posOffset>113665</wp:posOffset>
              </wp:positionV>
              <wp:extent cx="6644640" cy="274320"/>
              <wp:effectExtent l="0" t="0" r="3810" b="0"/>
              <wp:wrapNone/>
              <wp:docPr id="6" name="Textfeld 6"/>
              <wp:cNvGraphicFramePr/>
              <a:graphic xmlns:a="http://schemas.openxmlformats.org/drawingml/2006/main">
                <a:graphicData uri="http://schemas.microsoft.com/office/word/2010/wordprocessingShape">
                  <wps:wsp>
                    <wps:cNvSpPr txBox="1"/>
                    <wps:spPr>
                      <a:xfrm>
                        <a:off x="0" y="0"/>
                        <a:ext cx="6644640" cy="274320"/>
                      </a:xfrm>
                      <a:prstGeom prst="rect">
                        <a:avLst/>
                      </a:prstGeom>
                      <a:solidFill>
                        <a:schemeClr val="lt1"/>
                      </a:solidFill>
                      <a:ln w="6350">
                        <a:noFill/>
                      </a:ln>
                    </wps:spPr>
                    <wps:txbx>
                      <w:txbxContent>
                        <w:p w14:paraId="60AB98A6" w14:textId="77777777" w:rsidR="000F41D7" w:rsidRPr="000F41D7" w:rsidRDefault="000F41D7" w:rsidP="000F41D7">
                          <w:pPr>
                            <w:spacing w:before="0" w:after="0"/>
                            <w:jc w:val="center"/>
                            <w:rPr>
                              <w:color w:val="7F7F7F" w:themeColor="text1" w:themeTint="80"/>
                              <w:sz w:val="14"/>
                              <w:szCs w:val="14"/>
                              <w:lang w:val="en-US"/>
                            </w:rPr>
                          </w:pPr>
                          <w:r w:rsidRPr="000F41D7">
                            <w:rPr>
                              <w:color w:val="7F7F7F" w:themeColor="text1" w:themeTint="80"/>
                              <w:sz w:val="14"/>
                              <w:szCs w:val="14"/>
                              <w:lang w:val="en-US"/>
                            </w:rPr>
                            <w:t xml:space="preserve">This is for informational purposes only and no legal advice. Author: David Rosenthal, </w:t>
                          </w:r>
                          <w:hyperlink r:id="rId1" w:history="1">
                            <w:r w:rsidRPr="000F41D7">
                              <w:rPr>
                                <w:rStyle w:val="Hyperlink"/>
                                <w:color w:val="7F7F7F" w:themeColor="text1" w:themeTint="80"/>
                                <w:sz w:val="14"/>
                                <w:szCs w:val="14"/>
                                <w:lang w:val="en-US"/>
                              </w:rPr>
                              <w:t>drosenthal@vischer.com</w:t>
                            </w:r>
                          </w:hyperlink>
                          <w:r w:rsidRPr="000F41D7">
                            <w:rPr>
                              <w:color w:val="7F7F7F" w:themeColor="text1" w:themeTint="80"/>
                              <w:sz w:val="14"/>
                              <w:szCs w:val="14"/>
                              <w:lang w:val="en-US"/>
                            </w:rPr>
                            <w:t xml:space="preserve">  Updates: www.rosenthal.ch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7C5416" id="_x0000_t202" coordsize="21600,21600" o:spt="202" path="m,l,21600r21600,l21600,xe">
              <v:stroke joinstyle="miter"/>
              <v:path gradientshapeok="t" o:connecttype="rect"/>
            </v:shapetype>
            <v:shape id="Textfeld 6" o:spid="_x0000_s1026" type="#_x0000_t202" style="position:absolute;left:0;text-align:left;margin-left:-101.4pt;margin-top:8.95pt;width:523.2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" fillcolor="white [3201]" stroked="f" strokeweight=".5pt">
              <v:textbox inset="0,0,0,0">
                <w:txbxContent>
                  <w:p w14:paraId="60AB98A6" w14:textId="77777777" w:rsidR="000F41D7" w:rsidRPr="000F41D7" w:rsidRDefault="000F41D7" w:rsidP="000F41D7">
                    <w:pPr>
                      <w:spacing w:before="0" w:after="0"/>
                      <w:jc w:val="center"/>
                      <w:rPr>
                        <w:color w:val="7F7F7F" w:themeColor="text1" w:themeTint="80"/>
                        <w:sz w:val="14"/>
                        <w:szCs w:val="14"/>
                        <w:lang w:val="en-US"/>
                      </w:rPr>
                    </w:pPr>
                    <w:r w:rsidRPr="000F41D7">
                      <w:rPr>
                        <w:color w:val="7F7F7F" w:themeColor="text1" w:themeTint="80"/>
                        <w:sz w:val="14"/>
                        <w:szCs w:val="14"/>
                        <w:lang w:val="en-US"/>
                      </w:rPr>
                      <w:t xml:space="preserve">This is for informational purposes only and no legal advice. Author: David Rosenthal, </w:t>
                    </w:r>
                    <w:hyperlink r:id="rId2" w:history="1">
                      <w:r w:rsidRPr="000F41D7">
                        <w:rPr>
                          <w:rStyle w:val="Hyperlink"/>
                          <w:color w:val="7F7F7F" w:themeColor="text1" w:themeTint="80"/>
                          <w:sz w:val="14"/>
                          <w:szCs w:val="14"/>
                          <w:lang w:val="en-US"/>
                        </w:rPr>
                        <w:t>drosenthal@vischer.com</w:t>
                      </w:r>
                    </w:hyperlink>
                    <w:r w:rsidRPr="000F41D7">
                      <w:rPr>
                        <w:color w:val="7F7F7F" w:themeColor="text1" w:themeTint="80"/>
                        <w:sz w:val="14"/>
                        <w:szCs w:val="14"/>
                        <w:lang w:val="en-US"/>
                      </w:rPr>
                      <w:t xml:space="preserve">  Updates: www.rosenthal.ch</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D6F9" w14:textId="69D5A168" w:rsidR="000F41D7" w:rsidRDefault="000F41D7">
    <w:pPr>
      <w:pStyle w:val="Fuzeile"/>
    </w:pPr>
    <w:r>
      <w:rPr>
        <w:noProof/>
        <w:sz w:val="14"/>
        <w:szCs w:val="14"/>
        <w:lang w:eastAsia="de-CH" w:bidi="he-IL"/>
      </w:rPr>
      <mc:AlternateContent>
        <mc:Choice Requires="wps">
          <w:drawing>
            <wp:anchor distT="0" distB="0" distL="114300" distR="114300" simplePos="0" relativeHeight="251657216" behindDoc="0" locked="0" layoutInCell="1" allowOverlap="1" wp14:anchorId="439DF9CF" wp14:editId="52D2C5C5">
              <wp:simplePos x="0" y="0"/>
              <wp:positionH relativeFrom="column">
                <wp:posOffset>-1303020</wp:posOffset>
              </wp:positionH>
              <wp:positionV relativeFrom="paragraph">
                <wp:posOffset>106045</wp:posOffset>
              </wp:positionV>
              <wp:extent cx="6644640" cy="274320"/>
              <wp:effectExtent l="0" t="0" r="3810" b="0"/>
              <wp:wrapNone/>
              <wp:docPr id="1" name="Textfeld 1"/>
              <wp:cNvGraphicFramePr/>
              <a:graphic xmlns:a="http://schemas.openxmlformats.org/drawingml/2006/main">
                <a:graphicData uri="http://schemas.microsoft.com/office/word/2010/wordprocessingShape">
                  <wps:wsp>
                    <wps:cNvSpPr txBox="1"/>
                    <wps:spPr>
                      <a:xfrm>
                        <a:off x="0" y="0"/>
                        <a:ext cx="6644640" cy="274320"/>
                      </a:xfrm>
                      <a:prstGeom prst="rect">
                        <a:avLst/>
                      </a:prstGeom>
                      <a:solidFill>
                        <a:schemeClr val="lt1"/>
                      </a:solidFill>
                      <a:ln w="6350">
                        <a:noFill/>
                      </a:ln>
                    </wps:spPr>
                    <wps:txbx>
                      <w:txbxContent>
                        <w:p w14:paraId="499164D2" w14:textId="77777777" w:rsidR="000F41D7" w:rsidRPr="000F41D7" w:rsidRDefault="000F41D7" w:rsidP="000F41D7">
                          <w:pPr>
                            <w:spacing w:before="0" w:after="0"/>
                            <w:jc w:val="center"/>
                            <w:rPr>
                              <w:color w:val="7F7F7F" w:themeColor="text1" w:themeTint="80"/>
                              <w:sz w:val="14"/>
                              <w:szCs w:val="14"/>
                              <w:lang w:val="en-US"/>
                            </w:rPr>
                          </w:pPr>
                          <w:r w:rsidRPr="000F41D7">
                            <w:rPr>
                              <w:color w:val="7F7F7F" w:themeColor="text1" w:themeTint="80"/>
                              <w:sz w:val="14"/>
                              <w:szCs w:val="14"/>
                              <w:lang w:val="en-US"/>
                            </w:rPr>
                            <w:t xml:space="preserve">This is for informational purposes only and no legal advice. Author: David Rosenthal, </w:t>
                          </w:r>
                          <w:hyperlink r:id="rId1" w:history="1">
                            <w:r w:rsidRPr="000F41D7">
                              <w:rPr>
                                <w:rStyle w:val="Hyperlink"/>
                                <w:color w:val="7F7F7F" w:themeColor="text1" w:themeTint="80"/>
                                <w:sz w:val="14"/>
                                <w:szCs w:val="14"/>
                                <w:lang w:val="en-US"/>
                              </w:rPr>
                              <w:t>drosenthal@vischer.com</w:t>
                            </w:r>
                          </w:hyperlink>
                          <w:r w:rsidRPr="000F41D7">
                            <w:rPr>
                              <w:color w:val="7F7F7F" w:themeColor="text1" w:themeTint="80"/>
                              <w:sz w:val="14"/>
                              <w:szCs w:val="14"/>
                              <w:lang w:val="en-US"/>
                            </w:rPr>
                            <w:t xml:space="preserve">  Updates: www.rosenthal.ch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9DF9CF" id="_x0000_t202" coordsize="21600,21600" o:spt="202" path="m,l,21600r21600,l21600,xe">
              <v:stroke joinstyle="miter"/>
              <v:path gradientshapeok="t" o:connecttype="rect"/>
            </v:shapetype>
            <v:shape id="Textfeld 1" o:spid="_x0000_s1027" type="#_x0000_t202" style="position:absolute;left:0;text-align:left;margin-left:-102.6pt;margin-top:8.35pt;width:523.2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" fillcolor="white [3201]" stroked="f" strokeweight=".5pt">
              <v:textbox inset="0,0,0,0">
                <w:txbxContent>
                  <w:p w14:paraId="499164D2" w14:textId="77777777" w:rsidR="000F41D7" w:rsidRPr="000F41D7" w:rsidRDefault="000F41D7" w:rsidP="000F41D7">
                    <w:pPr>
                      <w:spacing w:before="0" w:after="0"/>
                      <w:jc w:val="center"/>
                      <w:rPr>
                        <w:color w:val="7F7F7F" w:themeColor="text1" w:themeTint="80"/>
                        <w:sz w:val="14"/>
                        <w:szCs w:val="14"/>
                        <w:lang w:val="en-US"/>
                      </w:rPr>
                    </w:pPr>
                    <w:r w:rsidRPr="000F41D7">
                      <w:rPr>
                        <w:color w:val="7F7F7F" w:themeColor="text1" w:themeTint="80"/>
                        <w:sz w:val="14"/>
                        <w:szCs w:val="14"/>
                        <w:lang w:val="en-US"/>
                      </w:rPr>
                      <w:t xml:space="preserve">This is for informational purposes only and no legal advice. Author: David Rosenthal, </w:t>
                    </w:r>
                    <w:hyperlink r:id="rId2" w:history="1">
                      <w:r w:rsidRPr="000F41D7">
                        <w:rPr>
                          <w:rStyle w:val="Hyperlink"/>
                          <w:color w:val="7F7F7F" w:themeColor="text1" w:themeTint="80"/>
                          <w:sz w:val="14"/>
                          <w:szCs w:val="14"/>
                          <w:lang w:val="en-US"/>
                        </w:rPr>
                        <w:t>drosenthal@vischer.com</w:t>
                      </w:r>
                    </w:hyperlink>
                    <w:r w:rsidRPr="000F41D7">
                      <w:rPr>
                        <w:color w:val="7F7F7F" w:themeColor="text1" w:themeTint="80"/>
                        <w:sz w:val="14"/>
                        <w:szCs w:val="14"/>
                        <w:lang w:val="en-US"/>
                      </w:rPr>
                      <w:t xml:space="preserve">  Updates: www.rosenthal.ch</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C782B" w14:textId="77777777" w:rsidR="003410C7" w:rsidRDefault="003410C7">
      <w:r>
        <w:separator/>
      </w:r>
    </w:p>
  </w:footnote>
  <w:footnote w:type="continuationSeparator" w:id="0">
    <w:p w14:paraId="5A8B1CF4" w14:textId="77777777" w:rsidR="003410C7" w:rsidRDefault="00341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51B8" w14:textId="77777777" w:rsidR="000F4395" w:rsidRDefault="000F439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6C9CC" w14:textId="1ECE06DA" w:rsidR="007A7A17" w:rsidRPr="008D52BC" w:rsidRDefault="00280634">
    <w:pPr>
      <w:pStyle w:val="Kopfzeile"/>
      <w:rPr>
        <w:sz w:val="14"/>
        <w:lang w:val="en-US"/>
      </w:rPr>
    </w:pPr>
    <w:r w:rsidRPr="008D52BC">
      <w:rPr>
        <w:rFonts w:ascii="Times New Roman" w:hAnsi="Times New Roman"/>
        <w:noProof/>
        <w:sz w:val="24"/>
        <w:szCs w:val="24"/>
        <w:lang w:val="en-US" w:eastAsia="de-CH" w:bidi="he-IL"/>
      </w:rPr>
      <w:drawing>
        <wp:anchor distT="0" distB="0" distL="114300" distR="114300" simplePos="0" relativeHeight="251663872" behindDoc="0" locked="0" layoutInCell="1" allowOverlap="1" wp14:anchorId="305188E4" wp14:editId="7AF9F978">
          <wp:simplePos x="0" y="0"/>
          <wp:positionH relativeFrom="column">
            <wp:posOffset>-1553845</wp:posOffset>
          </wp:positionH>
          <wp:positionV relativeFrom="paragraph">
            <wp:posOffset>359410</wp:posOffset>
          </wp:positionV>
          <wp:extent cx="469900" cy="71755"/>
          <wp:effectExtent l="0" t="0" r="6350" b="4445"/>
          <wp:wrapNone/>
          <wp:docPr id="2" name="Grafik 2" descr="VISCHER_51_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CHER_51_schwa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71755"/>
                  </a:xfrm>
                  <a:prstGeom prst="rect">
                    <a:avLst/>
                  </a:prstGeom>
                  <a:noFill/>
                </pic:spPr>
              </pic:pic>
            </a:graphicData>
          </a:graphic>
          <wp14:sizeRelH relativeFrom="page">
            <wp14:pctWidth>0</wp14:pctWidth>
          </wp14:sizeRelH>
          <wp14:sizeRelV relativeFrom="page">
            <wp14:pctHeight>0</wp14:pctHeight>
          </wp14:sizeRelV>
        </wp:anchor>
      </w:drawing>
    </w:r>
    <w:r w:rsidR="00FB7D8F" w:rsidRPr="008D52BC">
      <w:rPr>
        <w:sz w:val="14"/>
        <w:lang w:val="en-US"/>
      </w:rPr>
      <w:t>July 17, 2023</w:t>
    </w:r>
    <w:r w:rsidR="007A7A17" w:rsidRPr="008D52BC">
      <w:rPr>
        <w:sz w:val="14"/>
        <w:lang w:val="en-US"/>
      </w:rPr>
      <w:tab/>
    </w:r>
    <w:r w:rsidR="007A7A17" w:rsidRPr="008D52BC">
      <w:rPr>
        <w:sz w:val="14"/>
        <w:lang w:val="en-US"/>
      </w:rPr>
      <w:fldChar w:fldCharType="begin"/>
    </w:r>
    <w:r w:rsidR="007A7A17" w:rsidRPr="008D52BC">
      <w:rPr>
        <w:sz w:val="14"/>
        <w:lang w:val="en-US"/>
      </w:rPr>
      <w:instrText xml:space="preserve"> PAGE  \* MERGEFORMAT </w:instrText>
    </w:r>
    <w:r w:rsidR="007A7A17" w:rsidRPr="008D52BC">
      <w:rPr>
        <w:sz w:val="14"/>
        <w:lang w:val="en-US"/>
      </w:rPr>
      <w:fldChar w:fldCharType="separate"/>
    </w:r>
    <w:r w:rsidR="00040B54" w:rsidRPr="008D52BC">
      <w:rPr>
        <w:noProof/>
        <w:sz w:val="14"/>
        <w:lang w:val="en-US"/>
      </w:rPr>
      <w:t>2</w:t>
    </w:r>
    <w:r w:rsidR="007A7A17" w:rsidRPr="008D52BC">
      <w:rPr>
        <w:sz w:val="14"/>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55150" w14:textId="0E6E9437" w:rsidR="009D3427" w:rsidRPr="008D52BC" w:rsidRDefault="0097352E">
    <w:pPr>
      <w:pStyle w:val="Kopfzeile"/>
      <w:rPr>
        <w:sz w:val="14"/>
        <w:szCs w:val="14"/>
        <w:lang w:val="en-US"/>
      </w:rPr>
    </w:pPr>
    <w:r w:rsidRPr="008D52BC">
      <w:rPr>
        <w:noProof/>
        <w:sz w:val="14"/>
        <w:szCs w:val="14"/>
        <w:lang w:val="en-US" w:eastAsia="de-CH" w:bidi="he-IL"/>
      </w:rPr>
      <w:drawing>
        <wp:anchor distT="0" distB="0" distL="114300" distR="114300" simplePos="0" relativeHeight="251656192" behindDoc="0" locked="0" layoutInCell="1" allowOverlap="1" wp14:anchorId="0D8401B6" wp14:editId="5AF3B77B">
          <wp:simplePos x="0" y="0"/>
          <wp:positionH relativeFrom="column">
            <wp:posOffset>-1581150</wp:posOffset>
          </wp:positionH>
          <wp:positionV relativeFrom="paragraph">
            <wp:posOffset>328930</wp:posOffset>
          </wp:positionV>
          <wp:extent cx="1368000" cy="252000"/>
          <wp:effectExtent l="0" t="0" r="381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SCHER_51mm_100S___X8_1mm.emf"/>
                  <pic:cNvPicPr/>
                </pic:nvPicPr>
                <pic:blipFill>
                  <a:blip r:embed="rId1">
                    <a:extLst>
                      <a:ext uri="{28A0092B-C50C-407E-A947-70E740481C1C}">
                        <a14:useLocalDpi xmlns:a14="http://schemas.microsoft.com/office/drawing/2010/main" val="0"/>
                      </a:ext>
                    </a:extLst>
                  </a:blip>
                  <a:stretch>
                    <a:fillRect/>
                  </a:stretch>
                </pic:blipFill>
                <pic:spPr>
                  <a:xfrm>
                    <a:off x="0" y="0"/>
                    <a:ext cx="1368000" cy="252000"/>
                  </a:xfrm>
                  <a:prstGeom prst="rect">
                    <a:avLst/>
                  </a:prstGeom>
                </pic:spPr>
              </pic:pic>
            </a:graphicData>
          </a:graphic>
          <wp14:sizeRelH relativeFrom="margin">
            <wp14:pctWidth>0</wp14:pctWidth>
          </wp14:sizeRelH>
          <wp14:sizeRelV relativeFrom="margin">
            <wp14:pctHeight>0</wp14:pctHeight>
          </wp14:sizeRelV>
        </wp:anchor>
      </w:drawing>
    </w:r>
    <w:r w:rsidR="009D3427" w:rsidRPr="008D52BC">
      <w:rPr>
        <w:sz w:val="14"/>
        <w:szCs w:val="14"/>
        <w:lang w:val="en-US"/>
      </w:rPr>
      <w:t xml:space="preserve">Template / </w:t>
    </w:r>
    <w:r w:rsidR="008D52BC" w:rsidRPr="008D52BC">
      <w:rPr>
        <w:sz w:val="14"/>
        <w:szCs w:val="14"/>
        <w:lang w:val="en-US"/>
      </w:rPr>
      <w:t>July 1</w:t>
    </w:r>
    <w:r w:rsidR="009F593C">
      <w:rPr>
        <w:sz w:val="14"/>
        <w:szCs w:val="14"/>
        <w:lang w:val="en-US"/>
      </w:rPr>
      <w:t>9</w:t>
    </w:r>
    <w:r w:rsidR="008D52BC" w:rsidRPr="008D52BC">
      <w:rPr>
        <w:sz w:val="14"/>
        <w:szCs w:val="14"/>
        <w:lang w:val="en-US"/>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2749"/>
    <w:multiLevelType w:val="singleLevel"/>
    <w:tmpl w:val="58029868"/>
    <w:lvl w:ilvl="0">
      <w:start w:val="1"/>
      <w:numFmt w:val="bullet"/>
      <w:pStyle w:val="Punktiert0"/>
      <w:lvlText w:val=""/>
      <w:lvlJc w:val="left"/>
      <w:pPr>
        <w:tabs>
          <w:tab w:val="num" w:pos="851"/>
        </w:tabs>
        <w:ind w:left="851" w:hanging="426"/>
      </w:pPr>
      <w:rPr>
        <w:rFonts w:ascii="Symbol" w:hAnsi="Symbol" w:hint="default"/>
        <w:sz w:val="18"/>
      </w:rPr>
    </w:lvl>
  </w:abstractNum>
  <w:abstractNum w:abstractNumId="1" w15:restartNumberingAfterBreak="0">
    <w:nsid w:val="15004B68"/>
    <w:multiLevelType w:val="singleLevel"/>
    <w:tmpl w:val="787ED5F2"/>
    <w:lvl w:ilvl="0">
      <w:start w:val="1"/>
      <w:numFmt w:val="bullet"/>
      <w:pStyle w:val="Punktiert1"/>
      <w:lvlText w:val=""/>
      <w:lvlJc w:val="left"/>
      <w:pPr>
        <w:tabs>
          <w:tab w:val="num" w:pos="1418"/>
        </w:tabs>
        <w:ind w:left="1418" w:hanging="567"/>
      </w:pPr>
      <w:rPr>
        <w:rFonts w:ascii="Symbol" w:hAnsi="Symbol" w:hint="default"/>
        <w:sz w:val="18"/>
      </w:rPr>
    </w:lvl>
  </w:abstractNum>
  <w:abstractNum w:abstractNumId="2" w15:restartNumberingAfterBreak="0">
    <w:nsid w:val="164A4FE8"/>
    <w:multiLevelType w:val="singleLevel"/>
    <w:tmpl w:val="FAEE187A"/>
    <w:lvl w:ilvl="0">
      <w:start w:val="1"/>
      <w:numFmt w:val="decimal"/>
      <w:pStyle w:val="Randziffern"/>
      <w:lvlText w:val="%1"/>
      <w:lvlJc w:val="left"/>
      <w:pPr>
        <w:tabs>
          <w:tab w:val="num" w:pos="851"/>
        </w:tabs>
        <w:ind w:left="851" w:hanging="851"/>
      </w:pPr>
      <w:rPr>
        <w:rFonts w:ascii="Verdana" w:hAnsi="Verdana" w:hint="default"/>
        <w:b w:val="0"/>
        <w:i w:val="0"/>
        <w:sz w:val="20"/>
      </w:rPr>
    </w:lvl>
  </w:abstractNum>
  <w:abstractNum w:abstractNumId="3" w15:restartNumberingAfterBreak="0">
    <w:nsid w:val="2C823FEB"/>
    <w:multiLevelType w:val="hybridMultilevel"/>
    <w:tmpl w:val="6520E132"/>
    <w:lvl w:ilvl="0" w:tplc="610C7B2C">
      <w:start w:val="1"/>
      <w:numFmt w:val="bullet"/>
      <w:pStyle w:val="Punktiert2"/>
      <w:lvlText w:val=""/>
      <w:lvlJc w:val="left"/>
      <w:pPr>
        <w:tabs>
          <w:tab w:val="num" w:pos="1985"/>
        </w:tabs>
        <w:ind w:left="1985"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3E3F28"/>
    <w:multiLevelType w:val="multilevel"/>
    <w:tmpl w:val="64A2FDB8"/>
    <w:lvl w:ilvl="0">
      <w:start w:val="1"/>
      <w:numFmt w:val="upperRoman"/>
      <w:pStyle w:val="berschrift1"/>
      <w:lvlText w:val="%1."/>
      <w:lvlJc w:val="left"/>
      <w:pPr>
        <w:tabs>
          <w:tab w:val="num" w:pos="851"/>
        </w:tabs>
        <w:ind w:left="851" w:hanging="851"/>
      </w:pPr>
      <w:rPr>
        <w:rFonts w:ascii="Verdana" w:hAnsi="Verdana" w:hint="default"/>
        <w:b/>
        <w:i w:val="0"/>
        <w:caps/>
        <w:sz w:val="20"/>
      </w:rPr>
    </w:lvl>
    <w:lvl w:ilvl="1">
      <w:start w:val="1"/>
      <w:numFmt w:val="upperLetter"/>
      <w:pStyle w:val="berschrift2"/>
      <w:lvlText w:val="%2."/>
      <w:lvlJc w:val="left"/>
      <w:pPr>
        <w:tabs>
          <w:tab w:val="num" w:pos="851"/>
        </w:tabs>
        <w:ind w:left="851" w:hanging="851"/>
      </w:pPr>
      <w:rPr>
        <w:rFonts w:ascii="Verdana" w:hAnsi="Verdana" w:hint="default"/>
        <w:b/>
        <w:i w:val="0"/>
        <w:sz w:val="20"/>
      </w:rPr>
    </w:lvl>
    <w:lvl w:ilvl="2">
      <w:start w:val="1"/>
      <w:numFmt w:val="decimal"/>
      <w:pStyle w:val="berschrift3"/>
      <w:lvlText w:val="%3."/>
      <w:lvlJc w:val="left"/>
      <w:pPr>
        <w:tabs>
          <w:tab w:val="num" w:pos="851"/>
        </w:tabs>
        <w:ind w:left="851" w:hanging="851"/>
      </w:pPr>
      <w:rPr>
        <w:rFonts w:ascii="Verdana" w:hAnsi="Verdana" w:hint="default"/>
        <w:b w:val="0"/>
        <w:i w:val="0"/>
        <w:sz w:val="20"/>
      </w:rPr>
    </w:lvl>
    <w:lvl w:ilvl="3">
      <w:start w:val="1"/>
      <w:numFmt w:val="lowerLetter"/>
      <w:pStyle w:val="berschrift4"/>
      <w:lvlText w:val="%4)"/>
      <w:lvlJc w:val="left"/>
      <w:pPr>
        <w:tabs>
          <w:tab w:val="num" w:pos="851"/>
        </w:tabs>
        <w:ind w:left="851" w:hanging="851"/>
      </w:pPr>
      <w:rPr>
        <w:rFonts w:ascii="Verdana" w:hAnsi="Verdana" w:hint="default"/>
        <w:b w:val="0"/>
        <w:i w:val="0"/>
        <w:sz w:val="20"/>
      </w:rPr>
    </w:lvl>
    <w:lvl w:ilvl="4">
      <w:start w:val="1"/>
      <w:numFmt w:val="lowerRoman"/>
      <w:pStyle w:val="berschrift5"/>
      <w:lvlText w:val="(%5)"/>
      <w:lvlJc w:val="left"/>
      <w:pPr>
        <w:tabs>
          <w:tab w:val="num" w:pos="851"/>
        </w:tabs>
        <w:ind w:left="851" w:hanging="851"/>
      </w:pPr>
      <w:rPr>
        <w:rFonts w:ascii="Verdana" w:hAnsi="Verdana" w:hint="default"/>
        <w:b w:val="0"/>
        <w:i w:val="0"/>
        <w:sz w:val="20"/>
      </w:rPr>
    </w:lvl>
    <w:lvl w:ilvl="5">
      <w:start w:val="1"/>
      <w:numFmt w:val="decimal"/>
      <w:lvlRestart w:val="0"/>
      <w:pStyle w:val="berschrift6"/>
      <w:lvlText w:val="%6."/>
      <w:lvlJc w:val="left"/>
      <w:pPr>
        <w:tabs>
          <w:tab w:val="num" w:pos="851"/>
        </w:tabs>
        <w:ind w:left="851" w:hanging="851"/>
      </w:pPr>
      <w:rPr>
        <w:rFonts w:ascii="Verdana" w:hAnsi="Verdana" w:hint="default"/>
        <w:b/>
        <w:i w:val="0"/>
        <w:caps/>
        <w:sz w:val="20"/>
      </w:rPr>
    </w:lvl>
    <w:lvl w:ilvl="6">
      <w:start w:val="1"/>
      <w:numFmt w:val="decimal"/>
      <w:pStyle w:val="berschrift7"/>
      <w:lvlText w:val="%6.%7"/>
      <w:lvlJc w:val="left"/>
      <w:pPr>
        <w:tabs>
          <w:tab w:val="num" w:pos="851"/>
        </w:tabs>
        <w:ind w:left="851" w:hanging="851"/>
      </w:pPr>
      <w:rPr>
        <w:rFonts w:ascii="Verdana" w:hAnsi="Verdana" w:hint="default"/>
        <w:b w:val="0"/>
        <w:i w:val="0"/>
        <w:sz w:val="20"/>
      </w:rPr>
    </w:lvl>
    <w:lvl w:ilvl="7">
      <w:start w:val="1"/>
      <w:numFmt w:val="decimal"/>
      <w:pStyle w:val="berschrift8"/>
      <w:lvlText w:val="%6.%7.%8"/>
      <w:lvlJc w:val="left"/>
      <w:pPr>
        <w:tabs>
          <w:tab w:val="num" w:pos="851"/>
        </w:tabs>
        <w:ind w:left="851" w:hanging="851"/>
      </w:pPr>
      <w:rPr>
        <w:rFonts w:ascii="Verdana" w:hAnsi="Verdana" w:hint="default"/>
        <w:b w:val="0"/>
        <w:i w:val="0"/>
        <w:sz w:val="20"/>
      </w:rPr>
    </w:lvl>
    <w:lvl w:ilvl="8">
      <w:start w:val="1"/>
      <w:numFmt w:val="lowerLetter"/>
      <w:pStyle w:val="Buchstabiert1"/>
      <w:lvlText w:val="%9)"/>
      <w:lvlJc w:val="left"/>
      <w:pPr>
        <w:tabs>
          <w:tab w:val="num" w:pos="1418"/>
        </w:tabs>
        <w:ind w:left="1418" w:hanging="567"/>
      </w:pPr>
      <w:rPr>
        <w:rFonts w:ascii="Verdana" w:hAnsi="Verdana" w:hint="default"/>
        <w:b w:val="0"/>
        <w:i w:val="0"/>
        <w:sz w:val="20"/>
      </w:rPr>
    </w:lvl>
  </w:abstractNum>
  <w:abstractNum w:abstractNumId="5" w15:restartNumberingAfterBreak="0">
    <w:nsid w:val="40AD7259"/>
    <w:multiLevelType w:val="hybridMultilevel"/>
    <w:tmpl w:val="DE6446BC"/>
    <w:lvl w:ilvl="0" w:tplc="42EA9C94">
      <w:start w:val="1"/>
      <w:numFmt w:val="bullet"/>
      <w:pStyle w:val="Punktiert3"/>
      <w:lvlText w:val=""/>
      <w:lvlJc w:val="left"/>
      <w:pPr>
        <w:tabs>
          <w:tab w:val="num" w:pos="2552"/>
        </w:tabs>
        <w:ind w:left="2552"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E143AC"/>
    <w:multiLevelType w:val="multilevel"/>
    <w:tmpl w:val="98FC6894"/>
    <w:lvl w:ilvl="0">
      <w:start w:val="1"/>
      <w:numFmt w:val="upperRoman"/>
      <w:suff w:val="space"/>
      <w:lvlText w:val="%1."/>
      <w:lvlJc w:val="left"/>
      <w:pPr>
        <w:ind w:left="709" w:hanging="851"/>
      </w:pPr>
      <w:rPr>
        <w:rFonts w:ascii="Verdana" w:hAnsi="Verdana" w:hint="default"/>
        <w:b/>
        <w:i w:val="0"/>
        <w:color w:val="auto"/>
        <w:spacing w:val="4"/>
        <w:position w:val="0"/>
        <w:sz w:val="19"/>
        <w:u w:val="none"/>
      </w:rPr>
    </w:lvl>
    <w:lvl w:ilvl="1">
      <w:start w:val="1"/>
      <w:numFmt w:val="upperLetter"/>
      <w:suff w:val="space"/>
      <w:lvlText w:val="%2."/>
      <w:lvlJc w:val="left"/>
      <w:pPr>
        <w:ind w:left="709" w:hanging="851"/>
      </w:pPr>
      <w:rPr>
        <w:rFonts w:ascii="Verdana" w:hAnsi="Verdana" w:hint="default"/>
        <w:b/>
        <w:i w:val="0"/>
        <w:spacing w:val="4"/>
        <w:sz w:val="19"/>
      </w:rPr>
    </w:lvl>
    <w:lvl w:ilvl="2">
      <w:start w:val="1"/>
      <w:numFmt w:val="decimal"/>
      <w:suff w:val="space"/>
      <w:lvlText w:val="%3."/>
      <w:lvlJc w:val="left"/>
      <w:pPr>
        <w:ind w:left="709" w:hanging="851"/>
      </w:pPr>
      <w:rPr>
        <w:rFonts w:ascii="Verdana" w:hAnsi="Verdana" w:hint="default"/>
        <w:b w:val="0"/>
        <w:i w:val="0"/>
        <w:color w:val="auto"/>
        <w:sz w:val="19"/>
        <w:u w:val="none"/>
      </w:rPr>
    </w:lvl>
    <w:lvl w:ilvl="3">
      <w:start w:val="1"/>
      <w:numFmt w:val="decimal"/>
      <w:suff w:val="space"/>
      <w:lvlText w:val="%3.%4."/>
      <w:lvlJc w:val="left"/>
      <w:pPr>
        <w:ind w:left="709" w:hanging="851"/>
      </w:pPr>
      <w:rPr>
        <w:rFonts w:ascii="Verdana" w:hAnsi="Verdana" w:hint="default"/>
        <w:b w:val="0"/>
        <w:i w:val="0"/>
        <w:color w:val="auto"/>
        <w:sz w:val="19"/>
        <w:u w:val="none"/>
      </w:rPr>
    </w:lvl>
    <w:lvl w:ilvl="4">
      <w:start w:val="1"/>
      <w:numFmt w:val="decimal"/>
      <w:suff w:val="space"/>
      <w:lvlText w:val="%3.%4.%5."/>
      <w:lvlJc w:val="left"/>
      <w:pPr>
        <w:ind w:left="709" w:hanging="851"/>
      </w:pPr>
      <w:rPr>
        <w:rFonts w:ascii="Verdana" w:hAnsi="Verdana" w:hint="default"/>
        <w:b w:val="0"/>
        <w:i w:val="0"/>
        <w:sz w:val="19"/>
      </w:rPr>
    </w:lvl>
    <w:lvl w:ilvl="5">
      <w:start w:val="1"/>
      <w:numFmt w:val="lowerLetter"/>
      <w:suff w:val="space"/>
      <w:lvlText w:val="%6)"/>
      <w:lvlJc w:val="left"/>
      <w:pPr>
        <w:ind w:left="709" w:hanging="851"/>
      </w:pPr>
      <w:rPr>
        <w:rFonts w:ascii="Verdana" w:hAnsi="Verdana" w:hint="default"/>
        <w:sz w:val="19"/>
      </w:rPr>
    </w:lvl>
    <w:lvl w:ilvl="6">
      <w:start w:val="1"/>
      <w:numFmt w:val="lowerRoman"/>
      <w:suff w:val="space"/>
      <w:lvlText w:val="(%7)"/>
      <w:lvlJc w:val="left"/>
      <w:pPr>
        <w:ind w:left="709" w:hanging="851"/>
      </w:pPr>
      <w:rPr>
        <w:rFonts w:hint="default"/>
      </w:rPr>
    </w:lvl>
    <w:lvl w:ilvl="7">
      <w:start w:val="1"/>
      <w:numFmt w:val="lowerLetter"/>
      <w:lvlText w:val="%8)"/>
      <w:lvlJc w:val="left"/>
      <w:pPr>
        <w:tabs>
          <w:tab w:val="num" w:pos="1276"/>
        </w:tabs>
        <w:ind w:left="1276" w:hanging="567"/>
      </w:pPr>
      <w:rPr>
        <w:rFonts w:ascii="Verdana" w:hAnsi="Verdana" w:hint="default"/>
        <w:sz w:val="20"/>
      </w:rPr>
    </w:lvl>
    <w:lvl w:ilvl="8">
      <w:start w:val="1"/>
      <w:numFmt w:val="lowerLetter"/>
      <w:lvlText w:val="%9)"/>
      <w:lvlJc w:val="left"/>
      <w:pPr>
        <w:tabs>
          <w:tab w:val="num" w:pos="785"/>
        </w:tabs>
        <w:ind w:left="-142" w:firstLine="567"/>
      </w:pPr>
      <w:rPr>
        <w:rFonts w:hint="default"/>
      </w:rPr>
    </w:lvl>
  </w:abstractNum>
  <w:num w:numId="1" w16cid:durableId="503933950">
    <w:abstractNumId w:val="6"/>
  </w:num>
  <w:num w:numId="2" w16cid:durableId="1319573298">
    <w:abstractNumId w:val="0"/>
  </w:num>
  <w:num w:numId="3" w16cid:durableId="2133286951">
    <w:abstractNumId w:val="1"/>
  </w:num>
  <w:num w:numId="4" w16cid:durableId="1011637800">
    <w:abstractNumId w:val="3"/>
  </w:num>
  <w:num w:numId="5" w16cid:durableId="86116512">
    <w:abstractNumId w:val="5"/>
  </w:num>
  <w:num w:numId="6" w16cid:durableId="1054113104">
    <w:abstractNumId w:val="2"/>
  </w:num>
  <w:num w:numId="7" w16cid:durableId="264075968">
    <w:abstractNumId w:val="4"/>
  </w:num>
  <w:num w:numId="8" w16cid:durableId="864948469">
    <w:abstractNumId w:val="4"/>
  </w:num>
  <w:num w:numId="9" w16cid:durableId="2003657650">
    <w:abstractNumId w:val="4"/>
  </w:num>
  <w:num w:numId="10" w16cid:durableId="326907090">
    <w:abstractNumId w:val="4"/>
  </w:num>
  <w:num w:numId="11" w16cid:durableId="1817600374">
    <w:abstractNumId w:val="4"/>
  </w:num>
  <w:num w:numId="12" w16cid:durableId="768233549">
    <w:abstractNumId w:val="4"/>
  </w:num>
  <w:num w:numId="13" w16cid:durableId="2071802554">
    <w:abstractNumId w:val="4"/>
  </w:num>
  <w:num w:numId="14" w16cid:durableId="731536947">
    <w:abstractNumId w:val="4"/>
  </w:num>
  <w:num w:numId="15" w16cid:durableId="928344249">
    <w:abstractNumId w:val="4"/>
  </w:num>
  <w:num w:numId="16" w16cid:durableId="2003240491">
    <w:abstractNumId w:val="4"/>
  </w:num>
  <w:num w:numId="17" w16cid:durableId="1431046475">
    <w:abstractNumId w:val="4"/>
  </w:num>
  <w:num w:numId="18" w16cid:durableId="2001806878">
    <w:abstractNumId w:val="4"/>
  </w:num>
  <w:num w:numId="19" w16cid:durableId="210074710">
    <w:abstractNumId w:val="4"/>
  </w:num>
  <w:num w:numId="20" w16cid:durableId="1467162611">
    <w:abstractNumId w:val="4"/>
  </w:num>
  <w:num w:numId="21" w16cid:durableId="960068594">
    <w:abstractNumId w:val="4"/>
  </w:num>
  <w:num w:numId="22" w16cid:durableId="1853449362">
    <w:abstractNumId w:val="4"/>
  </w:num>
  <w:num w:numId="23" w16cid:durableId="1780680923">
    <w:abstractNumId w:val="4"/>
  </w:num>
  <w:num w:numId="24" w16cid:durableId="710111752">
    <w:abstractNumId w:val="4"/>
  </w:num>
  <w:num w:numId="25" w16cid:durableId="1184250186">
    <w:abstractNumId w:val="4"/>
  </w:num>
  <w:num w:numId="26" w16cid:durableId="1811365998">
    <w:abstractNumId w:val="4"/>
  </w:num>
  <w:num w:numId="27" w16cid:durableId="1508401094">
    <w:abstractNumId w:val="4"/>
  </w:num>
  <w:num w:numId="28" w16cid:durableId="642004539">
    <w:abstractNumId w:val="4"/>
  </w:num>
  <w:num w:numId="29" w16cid:durableId="34090080">
    <w:abstractNumId w:val="4"/>
  </w:num>
  <w:num w:numId="30" w16cid:durableId="763188494">
    <w:abstractNumId w:val="4"/>
  </w:num>
  <w:num w:numId="31" w16cid:durableId="1811511459">
    <w:abstractNumId w:val="4"/>
  </w:num>
  <w:num w:numId="32" w16cid:durableId="442380724">
    <w:abstractNumId w:val="4"/>
  </w:num>
  <w:num w:numId="33" w16cid:durableId="1443919953">
    <w:abstractNumId w:val="4"/>
  </w:num>
  <w:num w:numId="34" w16cid:durableId="584925513">
    <w:abstractNumId w:val="2"/>
  </w:num>
  <w:num w:numId="35" w16cid:durableId="117915335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0B54"/>
    <w:rsid w:val="00007368"/>
    <w:rsid w:val="0001298F"/>
    <w:rsid w:val="00027516"/>
    <w:rsid w:val="00037032"/>
    <w:rsid w:val="00037E35"/>
    <w:rsid w:val="00040B54"/>
    <w:rsid w:val="0006256A"/>
    <w:rsid w:val="0007422D"/>
    <w:rsid w:val="0009788B"/>
    <w:rsid w:val="000C0F5F"/>
    <w:rsid w:val="000F41D7"/>
    <w:rsid w:val="000F4395"/>
    <w:rsid w:val="00111D0A"/>
    <w:rsid w:val="00113280"/>
    <w:rsid w:val="00115DE5"/>
    <w:rsid w:val="00130F45"/>
    <w:rsid w:val="001626CD"/>
    <w:rsid w:val="001666A9"/>
    <w:rsid w:val="00176612"/>
    <w:rsid w:val="0019255A"/>
    <w:rsid w:val="001B12AC"/>
    <w:rsid w:val="001C0E4B"/>
    <w:rsid w:val="001E2ECD"/>
    <w:rsid w:val="00260E8B"/>
    <w:rsid w:val="00280634"/>
    <w:rsid w:val="002A41B7"/>
    <w:rsid w:val="002B4D1B"/>
    <w:rsid w:val="002B5788"/>
    <w:rsid w:val="002C2EF5"/>
    <w:rsid w:val="002D292B"/>
    <w:rsid w:val="0031009C"/>
    <w:rsid w:val="003410C7"/>
    <w:rsid w:val="00361C81"/>
    <w:rsid w:val="003667D0"/>
    <w:rsid w:val="00366AB8"/>
    <w:rsid w:val="003852E9"/>
    <w:rsid w:val="003A262E"/>
    <w:rsid w:val="003A3DA8"/>
    <w:rsid w:val="003A515A"/>
    <w:rsid w:val="00402F2D"/>
    <w:rsid w:val="00453D99"/>
    <w:rsid w:val="00464556"/>
    <w:rsid w:val="0048291B"/>
    <w:rsid w:val="00487BAD"/>
    <w:rsid w:val="00491C0C"/>
    <w:rsid w:val="004C1126"/>
    <w:rsid w:val="004D2D9E"/>
    <w:rsid w:val="004D3150"/>
    <w:rsid w:val="004D4DD3"/>
    <w:rsid w:val="004D5A44"/>
    <w:rsid w:val="004E249C"/>
    <w:rsid w:val="0054295D"/>
    <w:rsid w:val="00556DE4"/>
    <w:rsid w:val="0059089E"/>
    <w:rsid w:val="005923AC"/>
    <w:rsid w:val="005A4DEA"/>
    <w:rsid w:val="005B0B1F"/>
    <w:rsid w:val="005B2011"/>
    <w:rsid w:val="005E0C3F"/>
    <w:rsid w:val="006339CD"/>
    <w:rsid w:val="006442F9"/>
    <w:rsid w:val="00644695"/>
    <w:rsid w:val="00680A89"/>
    <w:rsid w:val="00681F03"/>
    <w:rsid w:val="00691A09"/>
    <w:rsid w:val="006D57BA"/>
    <w:rsid w:val="006D7AE1"/>
    <w:rsid w:val="006E21E6"/>
    <w:rsid w:val="00705791"/>
    <w:rsid w:val="007070EF"/>
    <w:rsid w:val="007162DB"/>
    <w:rsid w:val="007279E3"/>
    <w:rsid w:val="0075443B"/>
    <w:rsid w:val="00773955"/>
    <w:rsid w:val="00774DE8"/>
    <w:rsid w:val="00774E2B"/>
    <w:rsid w:val="00775C3C"/>
    <w:rsid w:val="00782EDD"/>
    <w:rsid w:val="007A7A17"/>
    <w:rsid w:val="007C0AD3"/>
    <w:rsid w:val="007C330C"/>
    <w:rsid w:val="007C6679"/>
    <w:rsid w:val="007D0EB0"/>
    <w:rsid w:val="007F28F7"/>
    <w:rsid w:val="007F7E63"/>
    <w:rsid w:val="0080140A"/>
    <w:rsid w:val="0080410E"/>
    <w:rsid w:val="0080692D"/>
    <w:rsid w:val="00856286"/>
    <w:rsid w:val="008A46A3"/>
    <w:rsid w:val="008B2EDE"/>
    <w:rsid w:val="008B3E5E"/>
    <w:rsid w:val="008D52BC"/>
    <w:rsid w:val="009143AC"/>
    <w:rsid w:val="00932550"/>
    <w:rsid w:val="00941F46"/>
    <w:rsid w:val="00953470"/>
    <w:rsid w:val="0096216B"/>
    <w:rsid w:val="0097352E"/>
    <w:rsid w:val="009866CF"/>
    <w:rsid w:val="00987289"/>
    <w:rsid w:val="009A19CE"/>
    <w:rsid w:val="009A3BF8"/>
    <w:rsid w:val="009A6EC4"/>
    <w:rsid w:val="009B61FC"/>
    <w:rsid w:val="009D3427"/>
    <w:rsid w:val="009D66D2"/>
    <w:rsid w:val="009D790D"/>
    <w:rsid w:val="009F593C"/>
    <w:rsid w:val="009F6FC6"/>
    <w:rsid w:val="00A10119"/>
    <w:rsid w:val="00A30192"/>
    <w:rsid w:val="00A52681"/>
    <w:rsid w:val="00A6694E"/>
    <w:rsid w:val="00A677E5"/>
    <w:rsid w:val="00A81A18"/>
    <w:rsid w:val="00A96F7D"/>
    <w:rsid w:val="00AC1F46"/>
    <w:rsid w:val="00AD1C11"/>
    <w:rsid w:val="00AD2873"/>
    <w:rsid w:val="00AF4856"/>
    <w:rsid w:val="00B016BC"/>
    <w:rsid w:val="00B315F1"/>
    <w:rsid w:val="00B450A4"/>
    <w:rsid w:val="00B46ABE"/>
    <w:rsid w:val="00B54A14"/>
    <w:rsid w:val="00B64F9E"/>
    <w:rsid w:val="00B83426"/>
    <w:rsid w:val="00BA2982"/>
    <w:rsid w:val="00BD25C4"/>
    <w:rsid w:val="00BD5BF0"/>
    <w:rsid w:val="00CC5C83"/>
    <w:rsid w:val="00CD1FCA"/>
    <w:rsid w:val="00CD4613"/>
    <w:rsid w:val="00CE66A1"/>
    <w:rsid w:val="00CF2354"/>
    <w:rsid w:val="00D009FE"/>
    <w:rsid w:val="00D066A0"/>
    <w:rsid w:val="00D42FD1"/>
    <w:rsid w:val="00D55299"/>
    <w:rsid w:val="00D56FD4"/>
    <w:rsid w:val="00DD1409"/>
    <w:rsid w:val="00E33D51"/>
    <w:rsid w:val="00E51E7C"/>
    <w:rsid w:val="00E61F44"/>
    <w:rsid w:val="00E716E5"/>
    <w:rsid w:val="00E82C57"/>
    <w:rsid w:val="00E96F29"/>
    <w:rsid w:val="00EA1CD2"/>
    <w:rsid w:val="00EA2B7C"/>
    <w:rsid w:val="00EB4C58"/>
    <w:rsid w:val="00ED16CB"/>
    <w:rsid w:val="00EE4AD4"/>
    <w:rsid w:val="00EF3314"/>
    <w:rsid w:val="00F01BB2"/>
    <w:rsid w:val="00F375AB"/>
    <w:rsid w:val="00F503EC"/>
    <w:rsid w:val="00F6241E"/>
    <w:rsid w:val="00F63F71"/>
    <w:rsid w:val="00F70690"/>
    <w:rsid w:val="00F769EA"/>
    <w:rsid w:val="00F97FBE"/>
    <w:rsid w:val="00FB7D8F"/>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9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pPr>
      <w:tabs>
        <w:tab w:val="left" w:pos="0"/>
        <w:tab w:val="left" w:pos="851"/>
        <w:tab w:val="left" w:pos="1418"/>
        <w:tab w:val="left" w:pos="1985"/>
        <w:tab w:val="left" w:pos="2552"/>
        <w:tab w:val="left" w:pos="3119"/>
      </w:tabs>
      <w:spacing w:before="120" w:after="120" w:line="290" w:lineRule="atLeast"/>
      <w:jc w:val="both"/>
    </w:pPr>
    <w:rPr>
      <w:rFonts w:ascii="Verdana" w:hAnsi="Verdana"/>
      <w:lang w:eastAsia="de-DE"/>
    </w:rPr>
  </w:style>
  <w:style w:type="paragraph" w:styleId="berschrift1">
    <w:name w:val="heading 1"/>
    <w:basedOn w:val="Normal0"/>
    <w:next w:val="Normal0"/>
    <w:qFormat/>
    <w:pPr>
      <w:keepNext/>
      <w:numPr>
        <w:numId w:val="32"/>
      </w:numPr>
      <w:spacing w:before="360"/>
      <w:jc w:val="left"/>
      <w:outlineLvl w:val="0"/>
    </w:pPr>
    <w:rPr>
      <w:b/>
      <w:caps/>
      <w:kern w:val="28"/>
    </w:rPr>
  </w:style>
  <w:style w:type="paragraph" w:styleId="berschrift2">
    <w:name w:val="heading 2"/>
    <w:basedOn w:val="Normal0"/>
    <w:next w:val="Normal0"/>
    <w:qFormat/>
    <w:pPr>
      <w:keepNext/>
      <w:numPr>
        <w:ilvl w:val="1"/>
        <w:numId w:val="32"/>
      </w:numPr>
      <w:jc w:val="left"/>
      <w:outlineLvl w:val="1"/>
    </w:pPr>
    <w:rPr>
      <w:b/>
    </w:rPr>
  </w:style>
  <w:style w:type="paragraph" w:styleId="berschrift3">
    <w:name w:val="heading 3"/>
    <w:basedOn w:val="Normal0"/>
    <w:next w:val="Normal0"/>
    <w:qFormat/>
    <w:pPr>
      <w:keepNext/>
      <w:numPr>
        <w:ilvl w:val="2"/>
        <w:numId w:val="32"/>
      </w:numPr>
      <w:jc w:val="left"/>
      <w:outlineLvl w:val="2"/>
    </w:pPr>
  </w:style>
  <w:style w:type="paragraph" w:styleId="berschrift4">
    <w:name w:val="heading 4"/>
    <w:basedOn w:val="Normal0"/>
    <w:next w:val="Normal0"/>
    <w:qFormat/>
    <w:pPr>
      <w:keepNext/>
      <w:numPr>
        <w:ilvl w:val="3"/>
        <w:numId w:val="32"/>
      </w:numPr>
      <w:jc w:val="left"/>
      <w:outlineLvl w:val="3"/>
    </w:pPr>
  </w:style>
  <w:style w:type="paragraph" w:styleId="berschrift5">
    <w:name w:val="heading 5"/>
    <w:basedOn w:val="Normal0"/>
    <w:next w:val="Normal0"/>
    <w:qFormat/>
    <w:pPr>
      <w:numPr>
        <w:ilvl w:val="4"/>
        <w:numId w:val="32"/>
      </w:numPr>
      <w:jc w:val="left"/>
      <w:outlineLvl w:val="4"/>
    </w:pPr>
  </w:style>
  <w:style w:type="paragraph" w:styleId="berschrift6">
    <w:name w:val="heading 6"/>
    <w:basedOn w:val="Normal0"/>
    <w:next w:val="Normal0"/>
    <w:qFormat/>
    <w:rsid w:val="007279E3"/>
    <w:pPr>
      <w:keepNext/>
      <w:keepLines/>
      <w:numPr>
        <w:ilvl w:val="5"/>
        <w:numId w:val="32"/>
      </w:numPr>
      <w:spacing w:before="360"/>
      <w:jc w:val="left"/>
      <w:outlineLvl w:val="5"/>
    </w:pPr>
    <w:rPr>
      <w:b/>
      <w:caps/>
    </w:rPr>
  </w:style>
  <w:style w:type="paragraph" w:styleId="berschrift7">
    <w:name w:val="heading 7"/>
    <w:basedOn w:val="Normal0"/>
    <w:next w:val="Normal0"/>
    <w:qFormat/>
    <w:rsid w:val="007279E3"/>
    <w:pPr>
      <w:keepNext/>
      <w:keepLines/>
      <w:numPr>
        <w:ilvl w:val="6"/>
        <w:numId w:val="32"/>
      </w:numPr>
      <w:jc w:val="left"/>
      <w:outlineLvl w:val="6"/>
    </w:pPr>
  </w:style>
  <w:style w:type="paragraph" w:styleId="berschrift8">
    <w:name w:val="heading 8"/>
    <w:basedOn w:val="Normal0"/>
    <w:next w:val="Normal0"/>
    <w:qFormat/>
    <w:rsid w:val="007279E3"/>
    <w:pPr>
      <w:keepNext/>
      <w:keepLines/>
      <w:numPr>
        <w:ilvl w:val="7"/>
        <w:numId w:val="32"/>
      </w:numPr>
      <w:jc w:val="left"/>
      <w:outlineLvl w:val="7"/>
    </w:pPr>
    <w:rPr>
      <w:bCs/>
    </w:rPr>
  </w:style>
  <w:style w:type="paragraph" w:styleId="berschrift9">
    <w:name w:val="heading 9"/>
    <w:basedOn w:val="Normal0"/>
    <w:next w:val="Normal0"/>
    <w:pPr>
      <w:tabs>
        <w:tab w:val="clear" w:pos="0"/>
        <w:tab w:val="clear" w:pos="851"/>
      </w:tabs>
      <w:spacing w:before="240" w:after="60"/>
      <w:outlineLvl w:val="8"/>
    </w:pPr>
    <w:rPr>
      <w:rFonts w:cs="Arial"/>
      <w:b/>
      <w:color w:val="FF000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0"/>
    <w:basedOn w:val="Standard"/>
    <w:qFormat/>
  </w:style>
  <w:style w:type="paragraph" w:styleId="Kopfzeile">
    <w:name w:val="header"/>
    <w:basedOn w:val="Normal0"/>
    <w:pPr>
      <w:tabs>
        <w:tab w:val="clear" w:pos="0"/>
        <w:tab w:val="clear" w:pos="851"/>
        <w:tab w:val="clear" w:pos="1418"/>
        <w:tab w:val="clear" w:pos="1985"/>
        <w:tab w:val="clear" w:pos="2552"/>
        <w:tab w:val="clear" w:pos="3119"/>
        <w:tab w:val="right" w:pos="8080"/>
      </w:tabs>
      <w:spacing w:before="0" w:after="0" w:line="200" w:lineRule="atLeast"/>
    </w:pPr>
  </w:style>
  <w:style w:type="paragraph" w:styleId="Fuzeile">
    <w:name w:val="footer"/>
    <w:basedOn w:val="Normal0"/>
    <w:pPr>
      <w:tabs>
        <w:tab w:val="clear" w:pos="0"/>
        <w:tab w:val="clear" w:pos="851"/>
        <w:tab w:val="clear" w:pos="1418"/>
        <w:tab w:val="clear" w:pos="1985"/>
        <w:tab w:val="clear" w:pos="2552"/>
        <w:tab w:val="clear" w:pos="3119"/>
      </w:tabs>
      <w:spacing w:before="0" w:after="0" w:line="200" w:lineRule="atLeast"/>
    </w:pPr>
  </w:style>
  <w:style w:type="paragraph" w:styleId="Sprechblasentext">
    <w:name w:val="Balloon Text"/>
    <w:basedOn w:val="Standard"/>
    <w:link w:val="SprechblasentextZchn"/>
    <w:rsid w:val="009F6FC6"/>
    <w:pPr>
      <w:spacing w:before="0" w:after="0" w:line="240" w:lineRule="auto"/>
    </w:pPr>
    <w:rPr>
      <w:rFonts w:ascii="Tahoma" w:hAnsi="Tahoma" w:cs="Tahoma"/>
      <w:sz w:val="16"/>
      <w:szCs w:val="16"/>
    </w:rPr>
  </w:style>
  <w:style w:type="paragraph" w:customStyle="1" w:styleId="Hngend0">
    <w:name w:val="Hängend 0"/>
    <w:basedOn w:val="Normal0"/>
    <w:qFormat/>
    <w:pPr>
      <w:ind w:left="851" w:hanging="851"/>
    </w:pPr>
  </w:style>
  <w:style w:type="paragraph" w:customStyle="1" w:styleId="Hngend1">
    <w:name w:val="Hängend 1"/>
    <w:basedOn w:val="Normal0"/>
    <w:qFormat/>
    <w:pPr>
      <w:ind w:left="1418" w:hanging="567"/>
    </w:pPr>
  </w:style>
  <w:style w:type="paragraph" w:customStyle="1" w:styleId="Hngend2">
    <w:name w:val="Hängend 2"/>
    <w:basedOn w:val="Normal1"/>
    <w:qFormat/>
    <w:pPr>
      <w:ind w:left="1985" w:hanging="567"/>
    </w:pPr>
  </w:style>
  <w:style w:type="paragraph" w:customStyle="1" w:styleId="Hngend3">
    <w:name w:val="Hängend 3"/>
    <w:basedOn w:val="Normal0"/>
    <w:pPr>
      <w:ind w:left="2552" w:hanging="567"/>
    </w:pPr>
  </w:style>
  <w:style w:type="paragraph" w:customStyle="1" w:styleId="Zitat1">
    <w:name w:val="Zitat 1"/>
    <w:basedOn w:val="Normal0"/>
    <w:next w:val="Normal0"/>
    <w:qFormat/>
    <w:pPr>
      <w:ind w:left="851" w:right="567"/>
    </w:pPr>
    <w:rPr>
      <w:i/>
    </w:rPr>
  </w:style>
  <w:style w:type="paragraph" w:customStyle="1" w:styleId="Zitat2">
    <w:name w:val="Zitat 2"/>
    <w:basedOn w:val="Normal0"/>
    <w:next w:val="Normal0"/>
    <w:qFormat/>
    <w:pPr>
      <w:ind w:left="1418" w:right="567"/>
    </w:pPr>
    <w:rPr>
      <w:i/>
    </w:rPr>
  </w:style>
  <w:style w:type="paragraph" w:customStyle="1" w:styleId="Zitat3">
    <w:name w:val="Zitat 3"/>
    <w:basedOn w:val="Normal0"/>
    <w:next w:val="Normal0"/>
    <w:pPr>
      <w:ind w:left="1985" w:right="567"/>
    </w:pPr>
    <w:rPr>
      <w:i/>
    </w:rPr>
  </w:style>
  <w:style w:type="paragraph" w:customStyle="1" w:styleId="Zitat4">
    <w:name w:val="Zitat 4"/>
    <w:basedOn w:val="Normal0"/>
    <w:next w:val="Normal0"/>
    <w:pPr>
      <w:ind w:left="2552" w:right="567"/>
    </w:pPr>
    <w:rPr>
      <w:i/>
    </w:rPr>
  </w:style>
  <w:style w:type="paragraph" w:styleId="Endnotentext">
    <w:name w:val="endnote text"/>
    <w:basedOn w:val="Normal0"/>
    <w:semiHidden/>
    <w:pPr>
      <w:tabs>
        <w:tab w:val="left" w:pos="425"/>
      </w:tabs>
      <w:spacing w:before="0" w:after="0" w:line="200" w:lineRule="atLeast"/>
      <w:ind w:left="425" w:hanging="425"/>
    </w:pPr>
    <w:rPr>
      <w:sz w:val="16"/>
    </w:rPr>
  </w:style>
  <w:style w:type="paragraph" w:customStyle="1" w:styleId="Zentriertfett">
    <w:name w:val="Zentriert fett"/>
    <w:basedOn w:val="Normal0"/>
    <w:next w:val="Normal0"/>
    <w:pPr>
      <w:tabs>
        <w:tab w:val="clear" w:pos="0"/>
      </w:tabs>
      <w:jc w:val="center"/>
    </w:pPr>
    <w:rPr>
      <w:b/>
    </w:rPr>
  </w:style>
  <w:style w:type="paragraph" w:customStyle="1" w:styleId="Zentriertnormal">
    <w:name w:val="Zentriert normal"/>
    <w:basedOn w:val="Normal0"/>
    <w:next w:val="Normal0"/>
    <w:pPr>
      <w:tabs>
        <w:tab w:val="clear" w:pos="0"/>
      </w:tabs>
      <w:jc w:val="center"/>
    </w:pPr>
  </w:style>
  <w:style w:type="paragraph" w:styleId="Verzeichnis6">
    <w:name w:val="toc 6"/>
    <w:basedOn w:val="Normal0"/>
    <w:next w:val="Normal0"/>
    <w:autoRedefine/>
    <w:semiHidden/>
    <w:pPr>
      <w:tabs>
        <w:tab w:val="clear" w:pos="1418"/>
        <w:tab w:val="clear" w:pos="1985"/>
        <w:tab w:val="clear" w:pos="2552"/>
        <w:tab w:val="clear" w:pos="3119"/>
        <w:tab w:val="right" w:leader="dot" w:pos="8080"/>
      </w:tabs>
      <w:ind w:left="851" w:right="284" w:hanging="851"/>
      <w:jc w:val="left"/>
    </w:pPr>
    <w:rPr>
      <w:b/>
      <w:caps/>
      <w:noProof/>
    </w:rPr>
  </w:style>
  <w:style w:type="paragraph" w:styleId="Verzeichnis7">
    <w:name w:val="toc 7"/>
    <w:basedOn w:val="Verzeichnis6"/>
    <w:next w:val="Normal0"/>
    <w:autoRedefine/>
    <w:semiHidden/>
    <w:pPr>
      <w:spacing w:before="0" w:after="0"/>
    </w:pPr>
    <w:rPr>
      <w:b w:val="0"/>
      <w:caps w:val="0"/>
      <w:smallCaps/>
    </w:rPr>
  </w:style>
  <w:style w:type="paragraph" w:styleId="Verzeichnis8">
    <w:name w:val="toc 8"/>
    <w:basedOn w:val="Verzeichnis7"/>
    <w:next w:val="Normal0"/>
    <w:autoRedefine/>
    <w:semiHidden/>
  </w:style>
  <w:style w:type="paragraph" w:styleId="Verzeichnis9">
    <w:name w:val="toc 9"/>
    <w:basedOn w:val="Normal0"/>
    <w:next w:val="Normal0"/>
    <w:autoRedefine/>
    <w:semiHidden/>
    <w:pPr>
      <w:ind w:left="1600"/>
    </w:pPr>
    <w:rPr>
      <w:color w:val="FF0000"/>
    </w:rPr>
  </w:style>
  <w:style w:type="paragraph" w:customStyle="1" w:styleId="Punktiert1">
    <w:name w:val="Punktiert 1"/>
    <w:basedOn w:val="Normal0"/>
    <w:qFormat/>
    <w:pPr>
      <w:numPr>
        <w:numId w:val="3"/>
      </w:numPr>
      <w:tabs>
        <w:tab w:val="left" w:pos="1418"/>
      </w:tabs>
    </w:pPr>
  </w:style>
  <w:style w:type="paragraph" w:customStyle="1" w:styleId="Punktiert0">
    <w:name w:val="Punktiert 0"/>
    <w:basedOn w:val="Normal0"/>
    <w:qFormat/>
    <w:pPr>
      <w:numPr>
        <w:numId w:val="2"/>
      </w:numPr>
      <w:tabs>
        <w:tab w:val="left" w:pos="851"/>
      </w:tabs>
      <w:ind w:hanging="567"/>
    </w:pPr>
  </w:style>
  <w:style w:type="paragraph" w:styleId="Verzeichnis1">
    <w:name w:val="toc 1"/>
    <w:basedOn w:val="Normal0"/>
    <w:next w:val="Normal0"/>
    <w:autoRedefine/>
    <w:semiHidden/>
    <w:pPr>
      <w:tabs>
        <w:tab w:val="clear" w:pos="1418"/>
        <w:tab w:val="clear" w:pos="1985"/>
        <w:tab w:val="clear" w:pos="2552"/>
        <w:tab w:val="clear" w:pos="3119"/>
        <w:tab w:val="right" w:leader="dot" w:pos="8080"/>
      </w:tabs>
      <w:ind w:left="851" w:right="284" w:hanging="851"/>
      <w:jc w:val="left"/>
    </w:pPr>
    <w:rPr>
      <w:b/>
      <w:caps/>
      <w:noProof/>
    </w:rPr>
  </w:style>
  <w:style w:type="paragraph" w:styleId="Verzeichnis2">
    <w:name w:val="toc 2"/>
    <w:basedOn w:val="Verzeichnis1"/>
    <w:next w:val="Normal0"/>
    <w:autoRedefine/>
    <w:semiHidden/>
    <w:rPr>
      <w:b w:val="0"/>
      <w:caps w:val="0"/>
    </w:rPr>
  </w:style>
  <w:style w:type="paragraph" w:styleId="Verzeichnis3">
    <w:name w:val="toc 3"/>
    <w:basedOn w:val="Verzeichnis2"/>
    <w:next w:val="Normal0"/>
    <w:autoRedefine/>
    <w:semiHidden/>
    <w:pPr>
      <w:spacing w:before="0" w:after="0"/>
    </w:pPr>
  </w:style>
  <w:style w:type="paragraph" w:styleId="Verzeichnis4">
    <w:name w:val="toc 4"/>
    <w:basedOn w:val="Verzeichnis3"/>
    <w:next w:val="Normal0"/>
    <w:autoRedefine/>
    <w:semiHidden/>
    <w:pPr>
      <w:tabs>
        <w:tab w:val="left" w:pos="1418"/>
      </w:tabs>
      <w:ind w:left="1418" w:hanging="567"/>
    </w:pPr>
  </w:style>
  <w:style w:type="paragraph" w:styleId="Verzeichnis5">
    <w:name w:val="toc 5"/>
    <w:basedOn w:val="Verzeichnis4"/>
    <w:next w:val="Normal0"/>
    <w:autoRedefine/>
    <w:semiHidden/>
    <w:pPr>
      <w:tabs>
        <w:tab w:val="left" w:pos="1985"/>
      </w:tabs>
      <w:ind w:left="1985"/>
    </w:pPr>
  </w:style>
  <w:style w:type="paragraph" w:styleId="Funotentext">
    <w:name w:val="footnote text"/>
    <w:basedOn w:val="Normal0"/>
    <w:semiHidden/>
    <w:pPr>
      <w:tabs>
        <w:tab w:val="left" w:pos="425"/>
      </w:tabs>
      <w:spacing w:before="0" w:after="0" w:line="200" w:lineRule="atLeast"/>
      <w:ind w:left="425" w:hanging="425"/>
    </w:pPr>
    <w:rPr>
      <w:sz w:val="16"/>
    </w:rPr>
  </w:style>
  <w:style w:type="character" w:styleId="Funotenzeichen">
    <w:name w:val="footnote reference"/>
    <w:basedOn w:val="Absatz-Standardschriftart"/>
    <w:semiHidden/>
    <w:rPr>
      <w:rFonts w:ascii="Verdana" w:hAnsi="Verdana"/>
      <w:position w:val="2"/>
      <w:sz w:val="18"/>
      <w:vertAlign w:val="superscript"/>
    </w:rPr>
  </w:style>
  <w:style w:type="paragraph" w:customStyle="1" w:styleId="Randziffern">
    <w:name w:val="Randziffern"/>
    <w:basedOn w:val="Normal0"/>
    <w:qFormat/>
    <w:pPr>
      <w:numPr>
        <w:numId w:val="6"/>
      </w:numPr>
      <w:tabs>
        <w:tab w:val="clear" w:pos="851"/>
      </w:tabs>
    </w:pPr>
  </w:style>
  <w:style w:type="paragraph" w:customStyle="1" w:styleId="Normal1">
    <w:name w:val="Normal 1"/>
    <w:basedOn w:val="Normal0"/>
    <w:qFormat/>
    <w:pPr>
      <w:ind w:left="851"/>
    </w:pPr>
  </w:style>
  <w:style w:type="paragraph" w:customStyle="1" w:styleId="Normal2">
    <w:name w:val="Normal 2"/>
    <w:basedOn w:val="Normal0"/>
    <w:qFormat/>
    <w:pPr>
      <w:ind w:left="1418"/>
    </w:pPr>
  </w:style>
  <w:style w:type="paragraph" w:customStyle="1" w:styleId="Normal3">
    <w:name w:val="Normal 3"/>
    <w:basedOn w:val="Normal0"/>
    <w:pPr>
      <w:ind w:left="1985"/>
    </w:pPr>
  </w:style>
  <w:style w:type="character" w:styleId="Hyperlink">
    <w:name w:val="Hyperlink"/>
    <w:basedOn w:val="Absatz-Standardschriftart"/>
    <w:rPr>
      <w:rFonts w:ascii="Verdana" w:hAnsi="Verdana"/>
      <w:color w:val="auto"/>
      <w:sz w:val="16"/>
      <w:u w:val="none"/>
    </w:rPr>
  </w:style>
  <w:style w:type="paragraph" w:customStyle="1" w:styleId="Punktiert2">
    <w:name w:val="Punktiert 2"/>
    <w:basedOn w:val="Normal0"/>
    <w:qFormat/>
    <w:pPr>
      <w:numPr>
        <w:numId w:val="4"/>
      </w:numPr>
      <w:tabs>
        <w:tab w:val="left" w:pos="1985"/>
      </w:tabs>
    </w:pPr>
  </w:style>
  <w:style w:type="paragraph" w:customStyle="1" w:styleId="Punktiert3">
    <w:name w:val="Punktiert 3"/>
    <w:basedOn w:val="Normal0"/>
    <w:pPr>
      <w:numPr>
        <w:numId w:val="5"/>
      </w:numPr>
      <w:tabs>
        <w:tab w:val="left" w:pos="2552"/>
      </w:tabs>
    </w:pPr>
  </w:style>
  <w:style w:type="paragraph" w:customStyle="1" w:styleId="Adresse">
    <w:name w:val="Adresse"/>
    <w:basedOn w:val="Normal0"/>
    <w:pPr>
      <w:framePr w:w="7585" w:h="4321" w:hSpace="141" w:wrap="around" w:vAnchor="text" w:hAnchor="page" w:x="2905" w:y="106"/>
      <w:tabs>
        <w:tab w:val="clear" w:pos="0"/>
      </w:tabs>
      <w:spacing w:after="0" w:line="240" w:lineRule="atLeast"/>
      <w:jc w:val="left"/>
    </w:pPr>
  </w:style>
  <w:style w:type="paragraph" w:customStyle="1" w:styleId="Betreff">
    <w:name w:val="Betreff"/>
    <w:basedOn w:val="Normal0"/>
    <w:next w:val="Normal0"/>
    <w:pPr>
      <w:tabs>
        <w:tab w:val="clear" w:pos="0"/>
      </w:tabs>
      <w:spacing w:before="280"/>
      <w:jc w:val="left"/>
    </w:pPr>
    <w:rPr>
      <w:b/>
    </w:rPr>
  </w:style>
  <w:style w:type="paragraph" w:customStyle="1" w:styleId="DokInfo">
    <w:name w:val="DokInfo"/>
    <w:basedOn w:val="Normal0"/>
    <w:next w:val="Normal0"/>
    <w:pPr>
      <w:tabs>
        <w:tab w:val="clear" w:pos="0"/>
      </w:tabs>
      <w:spacing w:after="0" w:line="160" w:lineRule="atLeast"/>
      <w:jc w:val="left"/>
    </w:pPr>
    <w:rPr>
      <w:noProof/>
      <w:sz w:val="14"/>
    </w:rPr>
  </w:style>
  <w:style w:type="character" w:styleId="Endnotenzeichen">
    <w:name w:val="endnote reference"/>
    <w:basedOn w:val="Absatz-Standardschriftart"/>
    <w:semiHidden/>
    <w:rPr>
      <w:rFonts w:ascii="Verdana" w:hAnsi="Verdana"/>
      <w:sz w:val="18"/>
      <w:vertAlign w:val="superscript"/>
    </w:rPr>
  </w:style>
  <w:style w:type="paragraph" w:customStyle="1" w:styleId="Endvermerk">
    <w:name w:val="Endvermerk"/>
    <w:basedOn w:val="Normal0"/>
    <w:pPr>
      <w:tabs>
        <w:tab w:val="left" w:pos="425"/>
      </w:tabs>
      <w:spacing w:before="0" w:after="0" w:line="200" w:lineRule="atLeast"/>
      <w:ind w:left="425" w:hanging="425"/>
    </w:pPr>
    <w:rPr>
      <w:sz w:val="16"/>
    </w:rPr>
  </w:style>
  <w:style w:type="paragraph" w:customStyle="1" w:styleId="Rechtsfett">
    <w:name w:val="Rechts fett"/>
    <w:basedOn w:val="Normal0"/>
    <w:next w:val="Randziffern"/>
    <w:pPr>
      <w:ind w:left="5103"/>
      <w:jc w:val="right"/>
    </w:pPr>
    <w:rPr>
      <w:b/>
    </w:rPr>
  </w:style>
  <w:style w:type="paragraph" w:customStyle="1" w:styleId="Postvermerk">
    <w:name w:val="Postvermerk"/>
    <w:basedOn w:val="Normal0"/>
    <w:next w:val="Adresse"/>
    <w:pPr>
      <w:framePr w:w="7677" w:h="4609" w:hSpace="142" w:wrap="around" w:vAnchor="page" w:hAnchor="page" w:x="2836" w:y="1583" w:anchorLock="1"/>
      <w:tabs>
        <w:tab w:val="clear" w:pos="0"/>
      </w:tabs>
      <w:spacing w:before="964"/>
      <w:jc w:val="left"/>
    </w:pPr>
    <w:rPr>
      <w:sz w:val="15"/>
    </w:rPr>
  </w:style>
  <w:style w:type="paragraph" w:customStyle="1" w:styleId="visDatum">
    <w:name w:val="visDatum"/>
    <w:basedOn w:val="Normal0"/>
    <w:next w:val="Normal0"/>
    <w:pPr>
      <w:tabs>
        <w:tab w:val="clear" w:pos="0"/>
      </w:tabs>
      <w:spacing w:after="80"/>
      <w:jc w:val="left"/>
    </w:pPr>
    <w:rPr>
      <w:noProof/>
    </w:rPr>
  </w:style>
  <w:style w:type="paragraph" w:styleId="Umschlagabsenderadresse">
    <w:name w:val="envelope return"/>
    <w:basedOn w:val="Normal0"/>
    <w:pPr>
      <w:tabs>
        <w:tab w:val="clear" w:pos="0"/>
      </w:tabs>
      <w:spacing w:after="0" w:line="240" w:lineRule="atLeast"/>
      <w:jc w:val="left"/>
    </w:pPr>
    <w:rPr>
      <w:rFonts w:cs="Arial"/>
    </w:rPr>
  </w:style>
  <w:style w:type="paragraph" w:styleId="Umschlagadresse">
    <w:name w:val="envelope address"/>
    <w:basedOn w:val="Normal0"/>
    <w:pPr>
      <w:framePr w:w="4320" w:h="2160" w:hRule="exact" w:hSpace="141" w:wrap="auto" w:hAnchor="page" w:xAlign="center" w:yAlign="bottom"/>
      <w:tabs>
        <w:tab w:val="clear" w:pos="0"/>
      </w:tabs>
      <w:spacing w:after="0" w:line="240" w:lineRule="atLeast"/>
      <w:jc w:val="left"/>
    </w:pPr>
    <w:rPr>
      <w:rFonts w:cs="Arial"/>
      <w:szCs w:val="24"/>
    </w:rPr>
  </w:style>
  <w:style w:type="paragraph" w:customStyle="1" w:styleId="Rechtsunterstrichen">
    <w:name w:val="Rechts unterstrichen"/>
    <w:basedOn w:val="Standard"/>
    <w:next w:val="Randziffern"/>
    <w:pPr>
      <w:ind w:left="5103"/>
      <w:jc w:val="right"/>
    </w:pPr>
    <w:rPr>
      <w:u w:val="single"/>
    </w:rPr>
  </w:style>
  <w:style w:type="paragraph" w:customStyle="1" w:styleId="Beweis0">
    <w:name w:val="Beweis 0"/>
    <w:basedOn w:val="Normal0"/>
    <w:next w:val="Rechtsfett"/>
    <w:pPr>
      <w:keepNext/>
      <w:tabs>
        <w:tab w:val="clear" w:pos="851"/>
        <w:tab w:val="left" w:pos="1134"/>
      </w:tabs>
      <w:ind w:left="1134" w:hanging="1134"/>
      <w:jc w:val="left"/>
    </w:pPr>
  </w:style>
  <w:style w:type="paragraph" w:customStyle="1" w:styleId="Beweis1">
    <w:name w:val="Beweis 1"/>
    <w:basedOn w:val="Normal0"/>
    <w:next w:val="Rechtsfett"/>
    <w:qFormat/>
    <w:pPr>
      <w:keepNext/>
      <w:tabs>
        <w:tab w:val="clear" w:pos="1418"/>
      </w:tabs>
      <w:ind w:left="1985" w:hanging="1134"/>
      <w:jc w:val="left"/>
    </w:pPr>
  </w:style>
  <w:style w:type="paragraph" w:customStyle="1" w:styleId="Buchstabiert1">
    <w:name w:val="Buchstabiert 1"/>
    <w:basedOn w:val="berschrift8"/>
    <w:qFormat/>
    <w:pPr>
      <w:numPr>
        <w:ilvl w:val="8"/>
      </w:numPr>
      <w:jc w:val="both"/>
      <w:outlineLvl w:val="8"/>
    </w:pPr>
  </w:style>
  <w:style w:type="character" w:customStyle="1" w:styleId="SprechblasentextZchn">
    <w:name w:val="Sprechblasentext Zchn"/>
    <w:basedOn w:val="Absatz-Standardschriftart"/>
    <w:link w:val="Sprechblasentext"/>
    <w:rsid w:val="009F6FC6"/>
    <w:rPr>
      <w:rFonts w:ascii="Tahoma" w:hAnsi="Tahoma" w:cs="Tahoma"/>
      <w:sz w:val="16"/>
      <w:szCs w:val="16"/>
      <w:lang w:eastAsia="de-DE"/>
    </w:rPr>
  </w:style>
  <w:style w:type="character" w:styleId="NichtaufgelsteErwhnung">
    <w:name w:val="Unresolved Mention"/>
    <w:basedOn w:val="Absatz-Standardschriftart"/>
    <w:uiPriority w:val="99"/>
    <w:semiHidden/>
    <w:unhideWhenUsed/>
    <w:rsid w:val="000F4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drosenthal@vischer.com" TargetMode="External"/><Relationship Id="rId1" Type="http://schemas.openxmlformats.org/officeDocument/2006/relationships/hyperlink" Target="mailto:drosenthal@vischer.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drosenthal@vischer.com" TargetMode="External"/><Relationship Id="rId1" Type="http://schemas.openxmlformats.org/officeDocument/2006/relationships/hyperlink" Target="mailto:drosenthal@visch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4281</Characters>
  <Application>Microsoft Office Word</Application>
  <DocSecurity>0</DocSecurity>
  <Lines>35</Lines>
  <Paragraphs>10</Paragraphs>
  <ScaleCrop>false</ScaleCrop>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Impact Assessment for the US</dc:title>
  <dc:subject/>
  <dc:creator/>
  <cp:keywords/>
  <dc:description>Updates: www.rosenthal.ch</dc:description>
  <cp:lastModifiedBy/>
  <cp:revision>1</cp:revision>
  <dcterms:created xsi:type="dcterms:W3CDTF">2023-07-17T09:37:00Z</dcterms:created>
  <dcterms:modified xsi:type="dcterms:W3CDTF">2023-09-19T21:39:00Z</dcterms:modified>
</cp:coreProperties>
</file>